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a56e32ae431e" /></Relationships>
</file>

<file path=word/document.xml><?xml version="1.0" encoding="utf-8"?>
<w:document xmlns:w="http://schemas.openxmlformats.org/wordprocessingml/2006/main">
  <w:body>
    <w:p>
      <w:r>
        <w:t>S-1060.1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5148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Senate Agriculture, Water, Natural Resources &amp; Parks (originally sponsored by Senators Wilson, L., Becker, Fortunato, Palumbo, Short, Takko, Wagoner, and Warnick)</w:t>
      </w:r>
    </w:p>
    <w:p/>
    <w:p>
      <w:r>
        <w:rPr>
          <w:t xml:space="preserve">READ FIRST TIME 01/25/19.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visible clothing requirements for hunting; adding a new section to chapter 77.15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For the purpose of hunter safety, the commission must adopt rules determining the times and manner when a person hunting must wear fluorescent orange or fluorescent pink clothing.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violation of this section is an infraction punishable under RCW 77.15.160.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d6ba7c828d1487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5148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010329707464d" /><Relationship Type="http://schemas.openxmlformats.org/officeDocument/2006/relationships/footer" Target="/word/footer1.xml" Id="R9d6ba7c828d14873" /></Relationships>
</file>