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172e01b5774353" /></Relationships>
</file>

<file path=word/document.xml><?xml version="1.0" encoding="utf-8"?>
<w:document xmlns:w="http://schemas.openxmlformats.org/wordprocessingml/2006/main">
  <w:body>
    <w:p>
      <w:r>
        <w:t>S-3265.1</w:t>
      </w:r>
    </w:p>
    <w:p>
      <w:pPr>
        <w:jc w:val="center"/>
      </w:pPr>
      <w:r>
        <w:t>_______________________________________________</w:t>
      </w:r>
    </w:p>
    <w:p/>
    <w:p>
      <w:pPr>
        <w:jc w:val="center"/>
      </w:pPr>
      <w:r>
        <w:rPr>
          <w:b/>
        </w:rPr>
        <w:t>SUBSTITUTE SENATE BILL 5133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Frockt, Honeyford, and Sheldon; by request of Office of Financial Management)</w:t>
      </w:r>
    </w:p>
    <w:p/>
    <w:p>
      <w:r>
        <w:rPr>
          <w:t xml:space="preserve">READ FIRST TIME 04/03/19.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and 2019-2021 fiscal biennia, and all costs incidental thereto, the state finance committee is authorized to issue general obligation bonds of the state of Washington in the sum of three billion sixty million five hundred forty-nine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eight hundred seventy-eight million five hundred thirty-four thousand dollars to remain in the state building construction account created by RCW 43.83.020;</w:t>
      </w:r>
    </w:p>
    <w:p>
      <w:pPr>
        <w:spacing w:before="0" w:after="0" w:line="408" w:lineRule="exact"/>
        <w:ind w:left="0" w:right="0" w:firstLine="576"/>
        <w:jc w:val="left"/>
      </w:pPr>
      <w:r>
        <w:rPr/>
        <w:t xml:space="preserve">(b) One hundred eighty-four million fifteen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treasurer shall transfer bond proceeds deposited in the state taxable building construction account into the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16b2a65a3794c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8418fa3dd941b2" /><Relationship Type="http://schemas.openxmlformats.org/officeDocument/2006/relationships/footer" Target="/word/footer1.xml" Id="R416b2a65a3794cec" /></Relationships>
</file>