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3ab375c5c14533" /></Relationships>
</file>

<file path=word/document.xml><?xml version="1.0" encoding="utf-8"?>
<w:document xmlns:w="http://schemas.openxmlformats.org/wordprocessingml/2006/main">
  <w:body>
    <w:p>
      <w:r>
        <w:t>S-2232.1</w:t>
      </w:r>
    </w:p>
    <w:p>
      <w:pPr>
        <w:jc w:val="center"/>
      </w:pPr>
      <w:r>
        <w:t>_______________________________________________</w:t>
      </w:r>
    </w:p>
    <w:p/>
    <w:p>
      <w:pPr>
        <w:jc w:val="center"/>
      </w:pPr>
      <w:r>
        <w:rPr>
          <w:b/>
        </w:rPr>
        <w:t>SUBSTITUTE SENATE BILL 5127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McCoy, Billig, Darneille, Hunt, Rolfes, and Schoesler)</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traumatic brain injury fee; amending RCW 46.63.110 and 74.31.060;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w:t>
      </w:r>
      <w:r>
        <w:t>((</w:t>
      </w:r>
      <w:r>
        <w:rPr>
          <w:strike/>
        </w:rPr>
        <w:t xml:space="preserve">two</w:t>
      </w:r>
      <w:r>
        <w:t>))</w:t>
      </w:r>
      <w:r>
        <w:rPr/>
        <w:t xml:space="preserve"> </w:t>
      </w:r>
      <w:r>
        <w:rPr>
          <w:u w:val="single"/>
        </w:rPr>
        <w:t xml:space="preserve">five</w:t>
      </w:r>
      <w:r>
        <w:rPr/>
        <w:t xml:space="preserve"> dollars per infraction. </w:t>
      </w:r>
      <w:r>
        <w:rPr>
          <w:u w:val="single"/>
        </w:rPr>
        <w:t xml:space="preserve">Under no circumstances shall this fee be reduced or waived.</w:t>
      </w:r>
      <w:r>
        <w:rPr/>
        <w:t xml:space="preserve">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060</w:t>
      </w:r>
      <w:r>
        <w:rPr/>
        <w:t xml:space="preserve"> and 2011 c 143 s 6 are each amended to read as follows:</w:t>
      </w:r>
    </w:p>
    <w:p>
      <w:pPr>
        <w:spacing w:before="0" w:after="0" w:line="408" w:lineRule="exact"/>
        <w:ind w:left="0" w:right="0" w:firstLine="576"/>
        <w:jc w:val="left"/>
      </w:pPr>
      <w:r>
        <w:rPr>
          <w:u w:val="single"/>
        </w:rPr>
        <w:t xml:space="preserve">(1)</w:t>
      </w:r>
      <w:r>
        <w:rPr/>
        <w:t xml:space="preserve"> The traumatic brain injury account is created in the state treasury. </w:t>
      </w:r>
      <w:r>
        <w:t>((</w:t>
      </w:r>
      <w:r>
        <w:rPr>
          <w:strike/>
        </w:rPr>
        <w:t xml:space="preserve">Two dollars of</w:t>
      </w:r>
      <w:r>
        <w:t>))</w:t>
      </w:r>
      <w:r>
        <w:rPr/>
        <w:t xml:space="preserve"> </w:t>
      </w:r>
      <w:r>
        <w:rPr>
          <w:u w:val="single"/>
        </w:rPr>
        <w:t xml:space="preserve">T</w:t>
      </w:r>
      <w:r>
        <w:rPr/>
        <w:t xml:space="preserve">he fee imposed under RCW 46.63.110(7)(c) must be deposited into the account. Moneys in the account may be spent only after appropriation, and may be used only to support the activities in the statewide traumatic brain injury comprehensive plan, to provide a public awareness campaign and services relating to traumatic brain injury under RCW 74.31.040 and 74.31.050, for information and referral services, and for costs of required department staff who are providing support for the council under RCW 74.31.020 and 74.31.030. The secretary of the department of social and health services has the authority to administer the funds.</w:t>
      </w:r>
    </w:p>
    <w:p>
      <w:pPr>
        <w:spacing w:before="0" w:after="0" w:line="408" w:lineRule="exact"/>
        <w:ind w:left="0" w:right="0" w:firstLine="576"/>
        <w:jc w:val="left"/>
      </w:pPr>
      <w:r>
        <w:rPr>
          <w:u w:val="single"/>
        </w:rPr>
        <w:t xml:space="preserve">(2) The sum of one hundred thousand dollars, or as much thereof as may be necessary, of the incremental revenue that is the result of the fee increased under RCW 46.63.110(7)(c), must be provided for the following purpose:</w:t>
      </w:r>
    </w:p>
    <w:p>
      <w:pPr>
        <w:spacing w:before="0" w:after="0" w:line="408" w:lineRule="exact"/>
        <w:ind w:left="0" w:right="0" w:firstLine="576"/>
        <w:jc w:val="left"/>
      </w:pPr>
      <w:r>
        <w:rPr>
          <w:u w:val="single"/>
        </w:rPr>
        <w:t xml:space="preserve">(a) The University of Washington medicine sports health and safety institute and the harborview injury prevention and research center must collect and synthesize:</w:t>
      </w:r>
    </w:p>
    <w:p>
      <w:pPr>
        <w:spacing w:before="0" w:after="0" w:line="408" w:lineRule="exact"/>
        <w:ind w:left="0" w:right="0" w:firstLine="576"/>
        <w:jc w:val="left"/>
      </w:pPr>
      <w:r>
        <w:rPr>
          <w:u w:val="single"/>
        </w:rPr>
        <w:t xml:space="preserve">(i) The most current scientific research, data, and evidence-based best practices to:</w:t>
      </w:r>
    </w:p>
    <w:p>
      <w:pPr>
        <w:spacing w:before="0" w:after="0" w:line="408" w:lineRule="exact"/>
        <w:ind w:left="0" w:right="0" w:firstLine="576"/>
        <w:jc w:val="left"/>
      </w:pPr>
      <w:r>
        <w:rPr>
          <w:u w:val="single"/>
        </w:rPr>
        <w:t xml:space="preserve">(A) Improve concussion recognition for all youth athletes; and</w:t>
      </w:r>
    </w:p>
    <w:p>
      <w:pPr>
        <w:spacing w:before="0" w:after="0" w:line="408" w:lineRule="exact"/>
        <w:ind w:left="0" w:right="0" w:firstLine="576"/>
        <w:jc w:val="left"/>
      </w:pPr>
      <w:r>
        <w:rPr>
          <w:u w:val="single"/>
        </w:rPr>
        <w:t xml:space="preserve">(B) Educate parents, teachers, coaches, and other supervising adults to intervene when a sports concussion is suspected;</w:t>
      </w:r>
    </w:p>
    <w:p>
      <w:pPr>
        <w:spacing w:before="0" w:after="0" w:line="408" w:lineRule="exact"/>
        <w:ind w:left="0" w:right="0" w:firstLine="576"/>
        <w:jc w:val="left"/>
      </w:pPr>
      <w:r>
        <w:rPr>
          <w:u w:val="single"/>
        </w:rPr>
        <w:t xml:space="preserve">(ii) The most current research and data on the impact of concussions to:</w:t>
      </w:r>
    </w:p>
    <w:p>
      <w:pPr>
        <w:spacing w:before="0" w:after="0" w:line="408" w:lineRule="exact"/>
        <w:ind w:left="0" w:right="0" w:firstLine="576"/>
        <w:jc w:val="left"/>
      </w:pPr>
      <w:r>
        <w:rPr>
          <w:u w:val="single"/>
        </w:rPr>
        <w:t xml:space="preserve">(A) Female youth athletes; and</w:t>
      </w:r>
    </w:p>
    <w:p>
      <w:pPr>
        <w:spacing w:before="0" w:after="0" w:line="408" w:lineRule="exact"/>
        <w:ind w:left="0" w:right="0" w:firstLine="576"/>
        <w:jc w:val="left"/>
      </w:pPr>
      <w:r>
        <w:rPr>
          <w:u w:val="single"/>
        </w:rPr>
        <w:t xml:space="preserve">(B) Youth athletes participating in sports other than high-impact contact sports; and</w:t>
      </w:r>
    </w:p>
    <w:p>
      <w:pPr>
        <w:spacing w:before="0" w:after="0" w:line="408" w:lineRule="exact"/>
        <w:ind w:left="0" w:right="0" w:firstLine="576"/>
        <w:jc w:val="left"/>
      </w:pPr>
      <w:r>
        <w:rPr>
          <w:u w:val="single"/>
        </w:rPr>
        <w:t xml:space="preserve">(iii) Materials for licensed health care providers regarding concussion care including:</w:t>
      </w:r>
    </w:p>
    <w:p>
      <w:pPr>
        <w:spacing w:before="0" w:after="0" w:line="408" w:lineRule="exact"/>
        <w:ind w:left="0" w:right="0" w:firstLine="576"/>
        <w:jc w:val="left"/>
      </w:pPr>
      <w:r>
        <w:rPr>
          <w:u w:val="single"/>
        </w:rPr>
        <w:t xml:space="preserve">(A) How to best plan with school officials and others for youth athletes returning to school after a sports concussion; and</w:t>
      </w:r>
    </w:p>
    <w:p>
      <w:pPr>
        <w:spacing w:before="0" w:after="0" w:line="408" w:lineRule="exact"/>
        <w:ind w:left="0" w:right="0" w:firstLine="576"/>
        <w:jc w:val="left"/>
      </w:pPr>
      <w:r>
        <w:rPr>
          <w:u w:val="single"/>
        </w:rPr>
        <w:t xml:space="preserve">(B) Information and strategies to help prevent youth athletes from prematurely returning to the field of play once they have suffered a concussion or are suspected to have suffered a concussion.</w:t>
      </w:r>
    </w:p>
    <w:p>
      <w:pPr>
        <w:spacing w:before="0" w:after="0" w:line="408" w:lineRule="exact"/>
        <w:ind w:left="0" w:right="0" w:firstLine="576"/>
        <w:jc w:val="left"/>
      </w:pPr>
      <w:r>
        <w:rPr>
          <w:u w:val="single"/>
        </w:rPr>
        <w:t xml:space="preserve">(b) The University of Washington medicine sports health and safety institute must:</w:t>
      </w:r>
    </w:p>
    <w:p>
      <w:pPr>
        <w:spacing w:before="0" w:after="0" w:line="408" w:lineRule="exact"/>
        <w:ind w:left="0" w:right="0" w:firstLine="576"/>
        <w:jc w:val="left"/>
      </w:pPr>
      <w:r>
        <w:rPr>
          <w:u w:val="single"/>
        </w:rPr>
        <w:t xml:space="preserve">(i) Develop and maintain a web site available to the public to serve as a repository for the information collected under (a) of this subsection; and</w:t>
      </w:r>
    </w:p>
    <w:p>
      <w:pPr>
        <w:spacing w:before="0" w:after="0" w:line="408" w:lineRule="exact"/>
        <w:ind w:left="0" w:right="0" w:firstLine="576"/>
        <w:jc w:val="left"/>
      </w:pPr>
      <w:r>
        <w:rPr>
          <w:u w:val="single"/>
        </w:rPr>
        <w:t xml:space="preserve">(ii) Work in conjunction with the Washington interscholastic activities association to promote the web site developed under (b)(i) of this subsection to interested parties including student athletes, parents, teachers, coaches, athletic directors, and health care providers in public and private school districts throughout the state.</w:t>
      </w:r>
    </w:p>
    <w:p/>
    <w:p>
      <w:pPr>
        <w:jc w:val="center"/>
      </w:pPr>
      <w:r>
        <w:rPr>
          <w:b/>
        </w:rPr>
        <w:t>--- END ---</w:t>
      </w:r>
    </w:p>
    <w:sectPr>
      <w:pgNumType w:start="1"/>
      <w:footerReference xmlns:r="http://schemas.openxmlformats.org/officeDocument/2006/relationships" r:id="R77c498afe9324a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08d2248eeb4014" /><Relationship Type="http://schemas.openxmlformats.org/officeDocument/2006/relationships/footer" Target="/word/footer1.xml" Id="R77c498afe9324a66" /></Relationships>
</file>