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b672ddc2b54030" /></Relationships>
</file>

<file path=word/document.xml><?xml version="1.0" encoding="utf-8"?>
<w:document xmlns:w="http://schemas.openxmlformats.org/wordprocessingml/2006/main">
  <w:body>
    <w:p>
      <w:r>
        <w:t>S-0892.2</w:t>
      </w:r>
    </w:p>
    <w:p>
      <w:pPr>
        <w:jc w:val="center"/>
      </w:pPr>
      <w:r>
        <w:t>_______________________________________________</w:t>
      </w:r>
    </w:p>
    <w:p/>
    <w:p>
      <w:pPr>
        <w:jc w:val="center"/>
      </w:pPr>
      <w:r>
        <w:rPr>
          <w:b/>
        </w:rPr>
        <w:t>SUBSTITUTE SENATE BILL 5123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 Padden)</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four days in unlawful detainer actions; and amending RCW 59.12.030, 59.12.020, and 59.12.100.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u w:val="single"/>
        </w:rPr>
        <w:t xml:space="preserve">(1)</w:t>
      </w:r>
      <w:r>
        <w:rPr/>
        <w:t xml:space="preserve"> A tenant of real property for a term less than life is guilty of unlawful detainer either: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w:t>
      </w:r>
      <w:r>
        <w:t>((</w:t>
      </w:r>
      <w:r>
        <w:rPr>
          <w:strike/>
        </w:rPr>
        <w:t xml:space="preserve">three</w:t>
      </w:r>
      <w:r>
        <w:t>))</w:t>
      </w:r>
      <w:r>
        <w:rPr/>
        <w:t xml:space="preserve"> </w:t>
      </w:r>
      <w:r>
        <w:rPr>
          <w:u w:val="single"/>
        </w:rPr>
        <w:t xml:space="preserve">four</w:t>
      </w:r>
      <w:r>
        <w:rPr/>
        <w:t xml:space="preserve"> days after service thereof. The notice may be served at any time after the rent becomes due;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w:t>
      </w:r>
      <w:r>
        <w:t>((</w:t>
      </w:r>
      <w:r>
        <w:rPr>
          <w:strike/>
        </w:rPr>
        <w:t xml:space="preserve">three</w:t>
      </w:r>
      <w:r>
        <w:t>))</w:t>
      </w:r>
      <w:r>
        <w:rPr/>
        <w:t xml:space="preserve"> </w:t>
      </w:r>
      <w:r>
        <w:rPr>
          <w:u w:val="single"/>
        </w:rPr>
        <w:t xml:space="preserve">four</w:t>
      </w:r>
      <w:r>
        <w:rPr/>
        <w:t xml:space="preserve"> days' notice to quit;</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 person who, without the permission of the owner and without having color of title thereto, enters upon land of another and who fails or refuses to remove therefrom after </w:t>
      </w:r>
      <w:r>
        <w:t>((</w:t>
      </w:r>
      <w:r>
        <w:rPr>
          <w:strike/>
        </w:rPr>
        <w:t xml:space="preserve">three</w:t>
      </w:r>
      <w:r>
        <w:t>))</w:t>
      </w:r>
      <w:r>
        <w:rPr/>
        <w:t xml:space="preserve"> </w:t>
      </w:r>
      <w:r>
        <w:rPr>
          <w:u w:val="single"/>
        </w:rPr>
        <w:t xml:space="preserve">four</w:t>
      </w:r>
      <w:r>
        <w:rPr/>
        <w:t xml:space="preserv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When he or she commits or permits any gang-related activity at the premises as prohibited by RCW 59.18.130.</w:t>
      </w:r>
    </w:p>
    <w:p>
      <w:pPr>
        <w:spacing w:before="0" w:after="0" w:line="408" w:lineRule="exact"/>
        <w:ind w:left="0" w:right="0" w:firstLine="576"/>
        <w:jc w:val="left"/>
      </w:pPr>
      <w:r>
        <w:rPr>
          <w:u w:val="single"/>
        </w:rPr>
        <w:t xml:space="preserve">(2) For the purposes of this section, "four days" means four calendar days. The calculation of four calendar days does not include any weekend days or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020</w:t>
      </w:r>
      <w:r>
        <w:rPr/>
        <w:t xml:space="preserve"> and 1891 c 96 s 2 are each amended to read as follows:</w:t>
      </w:r>
    </w:p>
    <w:p>
      <w:pPr>
        <w:spacing w:before="0" w:after="0" w:line="408" w:lineRule="exact"/>
        <w:ind w:left="0" w:right="0" w:firstLine="576"/>
        <w:jc w:val="left"/>
      </w:pPr>
      <w:r>
        <w:rPr/>
        <w:t xml:space="preserve">Every person is guilty of a forcible detainer who either</w:t>
      </w:r>
      <w:r>
        <w:rPr>
          <w:rFonts w:ascii="Times New Roman" w:hAnsi="Times New Roman"/>
        </w:rPr>
        <w:t xml:space="preserve">—</w:t>
      </w:r>
      <w:r>
        <w:rPr/>
        <w:t xml:space="preserve">(1) By force, or by menaces and threats of violence, unlawfully holds and keeps the possession of any real property, whether the same was acquired peaceably or otherwise; or</w:t>
      </w:r>
      <w:r>
        <w:rPr>
          <w:rFonts w:ascii="Times New Roman" w:hAnsi="Times New Roman"/>
        </w:rPr>
        <w:t xml:space="preserve">—</w:t>
      </w:r>
      <w:r>
        <w:rPr/>
        <w:t xml:space="preserve">(2) Who in the nighttime, or during the absence of the occupant of any real property, enters thereon, and who, after demand made for the surrender thereof, refuses for the period of </w:t>
      </w:r>
      <w:r>
        <w:t>((</w:t>
      </w:r>
      <w:r>
        <w:rPr>
          <w:strike/>
        </w:rPr>
        <w:t xml:space="preserve">three</w:t>
      </w:r>
      <w:r>
        <w:t>))</w:t>
      </w:r>
      <w:r>
        <w:rPr/>
        <w:t xml:space="preserve"> </w:t>
      </w:r>
      <w:r>
        <w:rPr>
          <w:u w:val="single"/>
        </w:rPr>
        <w:t xml:space="preserve">four</w:t>
      </w:r>
      <w:r>
        <w:rPr/>
        <w:t xml:space="preserve"> days to surrender the same to such former occupant. The occupant of real property within the meaning of this </w:t>
      </w:r>
      <w:r>
        <w:t>((</w:t>
      </w:r>
      <w:r>
        <w:rPr>
          <w:strike/>
        </w:rPr>
        <w:t xml:space="preserve">subdivision</w:t>
      </w:r>
      <w:r>
        <w:t>))</w:t>
      </w:r>
      <w:r>
        <w:rPr/>
        <w:t xml:space="preserve"> </w:t>
      </w:r>
      <w:r>
        <w:rPr>
          <w:u w:val="single"/>
        </w:rPr>
        <w:t xml:space="preserve">section</w:t>
      </w:r>
      <w:r>
        <w:rPr/>
        <w:t xml:space="preserve"> is one who for the five days next preceding such unlawful entry was in the peaceable and undisturbed possession of such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100</w:t>
      </w:r>
      <w:r>
        <w:rPr/>
        <w:t xml:space="preserve"> and 2010 c 8 s 19011 are each amended to read as follows:</w:t>
      </w:r>
    </w:p>
    <w:p>
      <w:pPr>
        <w:spacing w:before="0" w:after="0" w:line="408" w:lineRule="exact"/>
        <w:ind w:left="0" w:right="0" w:firstLine="576"/>
        <w:jc w:val="left"/>
      </w:pPr>
      <w:r>
        <w:rPr/>
        <w:t xml:space="preserve">The sheriff shall, upon receiving the writ of restitution, forthwith serve a copy thereof upon the defendant, his or her agent or attorney, or a person in possession of the premises, and shall not execute the same for </w:t>
      </w:r>
      <w:r>
        <w:t>((</w:t>
      </w:r>
      <w:r>
        <w:rPr>
          <w:strike/>
        </w:rPr>
        <w:t xml:space="preserve">three</w:t>
      </w:r>
      <w:r>
        <w:t>))</w:t>
      </w:r>
      <w:r>
        <w:rPr/>
        <w:t xml:space="preserve"> </w:t>
      </w:r>
      <w:r>
        <w:rPr>
          <w:u w:val="single"/>
        </w:rPr>
        <w:t xml:space="preserve">four</w:t>
      </w:r>
      <w:r>
        <w:rPr/>
        <w:t xml:space="preserve"> days thereafter, nor until after the defendant has been served with summons in the action as hereinabove provided, and the defendant, or person in possession of the premises within </w:t>
      </w:r>
      <w:r>
        <w:t>((</w:t>
      </w:r>
      <w:r>
        <w:rPr>
          <w:strike/>
        </w:rPr>
        <w:t xml:space="preserve">three</w:t>
      </w:r>
      <w:r>
        <w:t>))</w:t>
      </w:r>
      <w:r>
        <w:rPr/>
        <w:t xml:space="preserve"> </w:t>
      </w:r>
      <w:r>
        <w:rPr>
          <w:u w:val="single"/>
        </w:rPr>
        <w:t xml:space="preserve">four</w:t>
      </w:r>
      <w:r>
        <w:rPr/>
        <w:t xml:space="preserve"> days after the service of the writ of restitution may execute to the plaintiff a bond to be filed with and approved by the clerk of the court in such sum as may be fixed by the judge, with sufficient surety to be approved by the clerk of said court, conditioned that he or she will pay to the plaintiff such sum as the plaintiff may recover for the use and occupation of the said premises, or any rent found due, together with all damages the plaintiff may sustain by reason of the defendant occupying or keeping possession of said premises, and also all the costs of the action.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said bond before said bond shall be approved by the clerk. The writ may be served by the sheriff, in the event he or she shall be unable to find the defendant, an agent or attorney, or a person in possession of the premises, by affixing a copy of said writ in a conspicuous place upon the premises.</w:t>
      </w:r>
    </w:p>
    <w:p/>
    <w:p>
      <w:pPr>
        <w:jc w:val="center"/>
      </w:pPr>
      <w:r>
        <w:rPr>
          <w:b/>
        </w:rPr>
        <w:t>--- END ---</w:t>
      </w:r>
    </w:p>
    <w:sectPr>
      <w:pgNumType w:start="1"/>
      <w:footerReference xmlns:r="http://schemas.openxmlformats.org/officeDocument/2006/relationships" r:id="R2cf5cdab9b3d41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a5558ef7cd47fe" /><Relationship Type="http://schemas.openxmlformats.org/officeDocument/2006/relationships/footer" Target="/word/footer1.xml" Id="R2cf5cdab9b3d4105" /></Relationships>
</file>