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2b47dfc4de4e73" /></Relationships>
</file>

<file path=word/document.xml><?xml version="1.0" encoding="utf-8"?>
<w:document xmlns:w="http://schemas.openxmlformats.org/wordprocessingml/2006/main">
  <w:body>
    <w:p>
      <w:r>
        <w:t>S-1455.3</w:t>
      </w:r>
    </w:p>
    <w:p>
      <w:pPr>
        <w:jc w:val="center"/>
      </w:pPr>
      <w:r>
        <w:t>_______________________________________________</w:t>
      </w:r>
    </w:p>
    <w:p/>
    <w:p>
      <w:pPr>
        <w:jc w:val="center"/>
      </w:pPr>
      <w:r>
        <w:rPr>
          <w:b/>
        </w:rPr>
        <w:t>SUBSTITUTE SENATE BILL 5099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Sheldon, Fortunato, Schoesler, and Wagoner)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recreational target shooting areas on public lands; amending RCW 4.24.210;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department of natural resources manages public lands consistent with multiple uses of the landscape including recreational areas, trails, hunting, fishing, target shooting, and other forms of public recreation.</w:t>
      </w:r>
    </w:p>
    <w:p>
      <w:pPr>
        <w:spacing w:before="0" w:after="0" w:line="408" w:lineRule="exact"/>
        <w:ind w:left="0" w:right="0" w:firstLine="576"/>
        <w:jc w:val="left"/>
      </w:pPr>
      <w:r>
        <w:rPr/>
        <w:t xml:space="preserve">The legislature further finds that the multiple uses must be consistent with the applicable trust provisions of lands managed by the department of natural resources and be in the best interests of the state and the general welfare of the citizens. The legislature further finds that the department has developed rules for regulating target shooting on department-managed lands.</w:t>
      </w:r>
    </w:p>
    <w:p>
      <w:pPr>
        <w:spacing w:before="0" w:after="0" w:line="408" w:lineRule="exact"/>
        <w:ind w:left="0" w:right="0" w:firstLine="576"/>
        <w:jc w:val="left"/>
      </w:pPr>
      <w:r>
        <w:rPr/>
        <w:t xml:space="preserve">Therefore, the legislature finds that designating and properly posting recreational shooting areas on lands managed by the department of natural resources would enhance the safety of all recreational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2017 c 245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w:t>
      </w:r>
      <w:r>
        <w:rPr>
          <w:u w:val="single"/>
        </w:rPr>
        <w:t xml:space="preserve">recreational target shooting in designated areas,</w:t>
      </w:r>
      <w:r>
        <w:rPr/>
        <w:t xml:space="preserve">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 </w:t>
      </w:r>
      <w:r>
        <w:t>((</w:t>
      </w:r>
      <w:r>
        <w:rPr>
          <w:strike/>
        </w:rPr>
        <w:t xml:space="preserve">and</w:t>
      </w:r>
      <w:r>
        <w:t>))</w:t>
      </w:r>
    </w:p>
    <w:p>
      <w:pPr>
        <w:spacing w:before="0" w:after="0" w:line="408" w:lineRule="exact"/>
        <w:ind w:left="0" w:right="0" w:firstLine="576"/>
        <w:jc w:val="left"/>
      </w:pPr>
      <w:r>
        <w:rPr/>
        <w:t xml:space="preserve">(d) </w:t>
      </w:r>
      <w:r>
        <w:rPr>
          <w:u w:val="single"/>
        </w:rPr>
        <w:t xml:space="preserve">Amounts received from lease agreements to operate a recreational target shooting facility under chapter 79.13 RCW; and</w:t>
      </w:r>
    </w:p>
    <w:p>
      <w:pPr>
        <w:spacing w:before="0" w:after="0" w:line="408" w:lineRule="exact"/>
        <w:ind w:left="0" w:right="0" w:firstLine="576"/>
        <w:jc w:val="left"/>
      </w:pPr>
      <w:r>
        <w:rPr>
          <w:u w:val="single"/>
        </w:rPr>
        <w:t xml:space="preserve">(e)</w:t>
      </w:r>
      <w:r>
        <w:rPr/>
        <w:t xml:space="preserve"> Payments to landowners for public access from state, local, or nonprofit organizations established under department of fish and wildlife cooperative public access agreements if the landowner does not charge a fee to access the land subject to the cooperative agreement.</w:t>
      </w:r>
    </w:p>
    <w:p/>
    <w:p>
      <w:pPr>
        <w:jc w:val="center"/>
      </w:pPr>
      <w:r>
        <w:rPr>
          <w:b/>
        </w:rPr>
        <w:t>--- END ---</w:t>
      </w:r>
    </w:p>
    <w:sectPr>
      <w:pgNumType w:start="1"/>
      <w:footerReference xmlns:r="http://schemas.openxmlformats.org/officeDocument/2006/relationships" r:id="R9d0974d5ba5448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8824df99714937" /><Relationship Type="http://schemas.openxmlformats.org/officeDocument/2006/relationships/footer" Target="/word/footer1.xml" Id="R9d0974d5ba544894" /></Relationships>
</file>