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7808e90a14fac" /></Relationships>
</file>

<file path=word/document.xml><?xml version="1.0" encoding="utf-8"?>
<w:document xmlns:w="http://schemas.openxmlformats.org/wordprocessingml/2006/main">
  <w:body>
    <w:p>
      <w:r>
        <w:t>S-0027.2</w:t>
      </w:r>
    </w:p>
    <w:p>
      <w:pPr>
        <w:jc w:val="center"/>
      </w:pPr>
      <w:r>
        <w:t>_______________________________________________</w:t>
      </w:r>
    </w:p>
    <w:p/>
    <w:p>
      <w:pPr>
        <w:jc w:val="center"/>
      </w:pPr>
      <w:r>
        <w:rPr>
          <w:b/>
        </w:rPr>
        <w:t>SENATE BILL 5094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Fortunato</w:t>
      </w:r>
    </w:p>
    <w:p/>
    <w:p>
      <w:r>
        <w:rPr>
          <w:t xml:space="preserve">Prefiled 01/07/19.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flag of the United States from regulations regarding signs, banners, or decorations along or near roadways; amending RCW 47.36.030 and 47.24.020;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030</w:t>
      </w:r>
      <w:r>
        <w:rPr/>
        <w:t xml:space="preserve"> and 2005 c 398 s 1 are each amended to read as follows:</w:t>
      </w:r>
    </w:p>
    <w:p>
      <w:pPr>
        <w:spacing w:before="0" w:after="0" w:line="408" w:lineRule="exact"/>
        <w:ind w:left="0" w:right="0" w:firstLine="576"/>
        <w:jc w:val="left"/>
      </w:pPr>
      <w:r>
        <w:rPr/>
        <w:t xml:space="preserve">(1) The secretary of transportation shall have the power and it shall be its duty to adopt and designate a uniform state standard for the manufacture, display, erection, and location of all signs, signals, signboards, guideposts, and other traffic devices erected or to be erected upon the state highways of the state of Washington for the purpose of furnishing information to persons traveling upon such state highways regarding traffic regulations, directions, distances, points of danger, and conditions requiring caution, and for the purpose of imposing restrictions upon persons operating vehicles thereon. Such signs shall conform as nearly as practicable to the manual of specifications for the manufacture, display, and erection of uniform traffic control devices for streets and highways and all amendments, corrections, and additions thereto.</w:t>
      </w:r>
    </w:p>
    <w:p>
      <w:pPr>
        <w:spacing w:before="0" w:after="0" w:line="408" w:lineRule="exact"/>
        <w:ind w:left="0" w:right="0" w:firstLine="576"/>
        <w:jc w:val="left"/>
      </w:pPr>
      <w:r>
        <w:rPr/>
        <w:t xml:space="preserve">(2) The department of transportation shall prepare plans and specifications of the uniform state standard of traffic devices so adopted and designated, showing the materials, colors, and designs thereof, and shall upon the issuance of any such plans and specifications or revisions thereof and upon request, furnish to the boards of county commissioners and the governing body of any incorporated city or town, a copy thereof. Signs, signals, signboards, guideposts, and other traffic devices erected on county roads shall conform in all respects to the specifications of color, design, and location approved by the secretary. Traffic devices hereafter erected within incorporated cities and towns shall conform to such uniform state standard of traffic devices so far as is practicable. The uniform system must allow local transit authority bus shelters located within the right-of-way of the state highway system to display and maintain commercial advertisements subject to applicable federal regulations, if any.</w:t>
      </w:r>
    </w:p>
    <w:p>
      <w:pPr>
        <w:spacing w:before="0" w:after="0" w:line="408" w:lineRule="exact"/>
        <w:ind w:left="0" w:right="0" w:firstLine="576"/>
        <w:jc w:val="left"/>
      </w:pPr>
      <w:r>
        <w:rPr/>
        <w:t xml:space="preserve">(3)</w:t>
      </w:r>
      <w:r>
        <w:rPr>
          <w:u w:val="single"/>
        </w:rPr>
        <w:t xml:space="preserve">(a)</w:t>
      </w:r>
      <w:r>
        <w:rPr/>
        <w:t xml:space="preserve"> The uniform system adopted by the secretary under this section may allow signs, banners, or decorations over a highway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Are in unincorporated areas;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Are at least twenty vertical feet above a highway;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Do not interfere with or obstruct </w:t>
      </w:r>
      <w:r>
        <w:rPr>
          <w:u w:val="single"/>
        </w:rPr>
        <w:t xml:space="preserve">traffic flow or</w:t>
      </w:r>
      <w:r>
        <w:rPr/>
        <w:t xml:space="preserve"> the view of any traffic control device.</w:t>
      </w:r>
    </w:p>
    <w:p>
      <w:pPr>
        <w:spacing w:before="0" w:after="0" w:line="408" w:lineRule="exact"/>
        <w:ind w:left="0" w:right="0" w:firstLine="576"/>
        <w:jc w:val="left"/>
      </w:pPr>
      <w:r>
        <w:rPr>
          <w:u w:val="single"/>
        </w:rPr>
        <w:t xml:space="preserve">(b) The department may not prohibit the placement of the flag of the United States along or near any state highway.</w:t>
      </w:r>
    </w:p>
    <w:p>
      <w:pPr>
        <w:spacing w:before="0" w:after="0" w:line="408" w:lineRule="exact"/>
        <w:ind w:left="0" w:right="0" w:firstLine="576"/>
        <w:jc w:val="left"/>
      </w:pPr>
      <w:r>
        <w:rPr>
          <w:u w:val="single"/>
        </w:rPr>
        <w:t xml:space="preserve">(i) For purposes of this subsection (3)(b), "flag of the United States" means the flag of the United States as defined in federal flag display law, 4 U.S.C. Sec. 1 et seq., that is made of fabric, cloth, or paper and that is displayed from a staff or flagpole.</w:t>
      </w:r>
    </w:p>
    <w:p>
      <w:pPr>
        <w:spacing w:before="0" w:after="0" w:line="408" w:lineRule="exact"/>
        <w:ind w:left="0" w:right="0" w:firstLine="576"/>
        <w:jc w:val="left"/>
      </w:pPr>
      <w:r>
        <w:rPr>
          <w:u w:val="single"/>
        </w:rPr>
        <w:t xml:space="preserve">(ii) Any flag of the United States placed along or near any state highway must still comply with (a)(ii) and (iii) of this subsection.</w:t>
      </w:r>
    </w:p>
    <w:p>
      <w:pPr>
        <w:spacing w:before="0" w:after="0" w:line="408" w:lineRule="exact"/>
        <w:ind w:left="0" w:right="0" w:firstLine="576"/>
        <w:jc w:val="left"/>
      </w:pPr>
      <w:r>
        <w:rPr/>
        <w:t xml:space="preserve">The department shall adopt rules regulating signs, banners, or decorations installed under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ordinance adopted by a city or town relating to signs, banners, or decorations along or near a roadway does not apply to a flag of the United States as defined in RCW 47.36.030. Any flag of the United States placed along or near any roadway must still comply with RCW 47.36.030(3)(a) (ii) and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ordinance adopted by a code city relating to signs, banners, or decorations along or near a roadway does not apply to a flag of the United States as defined in RCW 47.36.030. Any flag of the United States placed along or near any roadway must still comply with RCW 47.36.030(3)(a) (ii) and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ordinance adopted by a county relating to signs, banners, or decorations along or near a roadway does not apply to a flag of the United States as defined in RCW 47.36.030. Any flag of the United States placed along or near any roadway must still comply with RCW 47.36.030(3)(a) (ii) and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2018 c 100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w:t>
      </w:r>
      <w:r>
        <w:rPr>
          <w:u w:val="single"/>
        </w:rPr>
        <w:t xml:space="preserve">Except as provided in RCW 47.36.030, t</w:t>
      </w:r>
      <w:r>
        <w:rPr/>
        <w:t xml:space="preserve">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Except as otherwise provided in subsection (17) of this section, the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twenty-seven thousand five hundred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twenty-seven thousand five hundred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Except as otherwise provided in subsection (17) of this section, the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twenty-seven thousand five hundred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twenty-seven thousand five hundred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twenty-seven thousand five hundred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p>
    <w:p>
      <w:pPr>
        <w:spacing w:before="0" w:after="0" w:line="408" w:lineRule="exact"/>
        <w:ind w:left="0" w:right="0" w:firstLine="576"/>
        <w:jc w:val="left"/>
      </w:pPr>
      <w:r>
        <w:rPr/>
        <w:t xml:space="preserve">(17) The population thresholds identified in subsections (6) and (13) of this section shall be increased as follows:</w:t>
      </w:r>
    </w:p>
    <w:p>
      <w:pPr>
        <w:spacing w:before="0" w:after="0" w:line="408" w:lineRule="exact"/>
        <w:ind w:left="0" w:right="0" w:firstLine="576"/>
        <w:jc w:val="left"/>
      </w:pPr>
      <w:r>
        <w:rPr/>
        <w:t xml:space="preserve">(a) Thirty thousand on July 1, 2023;</w:t>
      </w:r>
    </w:p>
    <w:p>
      <w:pPr>
        <w:spacing w:before="0" w:after="0" w:line="408" w:lineRule="exact"/>
        <w:ind w:left="0" w:right="0" w:firstLine="576"/>
        <w:jc w:val="left"/>
      </w:pPr>
      <w:r>
        <w:rPr/>
        <w:t xml:space="preserve">(b) Thirty-two thousand five hundred on July 1, 2028; and</w:t>
      </w:r>
    </w:p>
    <w:p>
      <w:pPr>
        <w:spacing w:before="0" w:after="0" w:line="408" w:lineRule="exact"/>
        <w:ind w:left="0" w:right="0" w:firstLine="576"/>
        <w:jc w:val="left"/>
      </w:pPr>
      <w:r>
        <w:rPr/>
        <w:t xml:space="preserve">(c) Thirty-five thousand on July 1, 2033.</w:t>
      </w:r>
    </w:p>
    <w:p/>
    <w:p>
      <w:pPr>
        <w:jc w:val="center"/>
      </w:pPr>
      <w:r>
        <w:rPr>
          <w:b/>
        </w:rPr>
        <w:t>--- END ---</w:t>
      </w:r>
    </w:p>
    <w:sectPr>
      <w:pgNumType w:start="1"/>
      <w:footerReference xmlns:r="http://schemas.openxmlformats.org/officeDocument/2006/relationships" r:id="R94e3e5b524ae44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d1c8a2a5b41b5" /><Relationship Type="http://schemas.openxmlformats.org/officeDocument/2006/relationships/footer" Target="/word/footer1.xml" Id="R94e3e5b524ae44cc" /></Relationships>
</file>