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0f79381bf14a68" /></Relationships>
</file>

<file path=word/document.xml><?xml version="1.0" encoding="utf-8"?>
<w:document xmlns:w="http://schemas.openxmlformats.org/wordprocessingml/2006/main">
  <w:body>
    <w:p>
      <w:r>
        <w:t>S-1920.1</w:t>
      </w:r>
    </w:p>
    <w:p>
      <w:pPr>
        <w:jc w:val="center"/>
      </w:pPr>
      <w:r>
        <w:t>_______________________________________________</w:t>
      </w:r>
    </w:p>
    <w:p/>
    <w:p>
      <w:pPr>
        <w:jc w:val="center"/>
      </w:pPr>
      <w:r>
        <w:rPr>
          <w:b/>
        </w:rPr>
        <w:t>SUBSTITUTE SENATE BILL 5091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Wellman, Conway, Darneille, Wilson, C., Kuderer, and Takko)</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and federal special education funding; and amending RCW 28A.150.392 and 28A.150.415.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2018 c 266 s 106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To the extent necessary, </w:t>
      </w:r>
      <w:r>
        <w:rPr>
          <w:u w:val="single"/>
        </w:rPr>
        <w:t xml:space="preserve">state</w:t>
      </w:r>
      <w:r>
        <w:rPr/>
        <w:t xml:space="preserve">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t>((</w:t>
      </w:r>
      <w:r>
        <w:rPr>
          <w:strike/>
        </w:rPr>
        <w:t xml:space="preserve">(b) If the federal safety net awards based on the federal eligibility threshold exceed the federal appropriation in any fiscal year, then the superintendent shall expend all available federal discretionary funds necessary to meet this need.</w:t>
      </w:r>
      <w:r>
        <w:t>))</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w:t>
      </w:r>
      <w:r>
        <w:rPr>
          <w:u w:val="single"/>
        </w:rPr>
        <w:t xml:space="preserve">basic education</w:t>
      </w:r>
      <w:r>
        <w:rPr/>
        <w:t xml:space="preserv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w:t>
      </w:r>
      <w:r>
        <w:rPr>
          <w:u w:val="single"/>
        </w:rPr>
        <w:t xml:space="preserve">students eligible for</w:t>
      </w:r>
      <w:r>
        <w:rPr/>
        <w:t xml:space="preserve"> special education</w:t>
      </w:r>
      <w:r>
        <w:t>((</w:t>
      </w:r>
      <w:r>
        <w:rPr>
          <w:strike/>
        </w:rPr>
        <w:t xml:space="preserve">-eligible students</w:t>
      </w:r>
      <w:r>
        <w:t>))</w:t>
      </w:r>
      <w:r>
        <w:rPr/>
        <w:t xml:space="preserve">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w:t>
      </w:r>
      <w:r>
        <w:t>((</w:t>
      </w:r>
      <w:r>
        <w:rPr>
          <w:strike/>
        </w:rPr>
        <w:t xml:space="preserve">special education</w:t>
      </w:r>
      <w:r>
        <w:t>))</w:t>
      </w:r>
      <w:r>
        <w:rPr/>
        <w:t xml:space="preserve"> students </w:t>
      </w:r>
      <w:r>
        <w:rPr>
          <w:u w:val="single"/>
        </w:rPr>
        <w:t xml:space="preserve">with disabilities under the individuals with disabilities act</w:t>
      </w:r>
      <w:r>
        <w:rPr/>
        <w:t xml:space="preserve">.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w:t>
      </w:r>
      <w:r>
        <w:t>((</w:t>
      </w:r>
      <w:r>
        <w:rPr>
          <w:strike/>
        </w:rPr>
        <w:t xml:space="preserve">special education</w:t>
      </w:r>
      <w:r>
        <w:t>))</w:t>
      </w:r>
      <w:r>
        <w:rPr/>
        <w:t xml:space="preserve"> students </w:t>
      </w:r>
      <w:r>
        <w:rPr>
          <w:u w:val="single"/>
        </w:rPr>
        <w:t xml:space="preserve">with disabilities under the individuals with disabilities act</w:t>
      </w:r>
      <w:r>
        <w:rPr/>
        <w:t xml:space="preserve"> served in residential schools as defined in RCW 28A.190.020, programs for juveniles under the department of corrections, and programs for juveniles operated by city and county jails to the extent they are providing a </w:t>
      </w:r>
      <w:r>
        <w:rPr>
          <w:u w:val="single"/>
        </w:rPr>
        <w:t xml:space="preserve">secondary</w:t>
      </w:r>
      <w:r>
        <w:rPr/>
        <w:t xml:space="preserve"> program of education </w:t>
      </w:r>
      <w:r>
        <w:t>((</w:t>
      </w:r>
      <w:r>
        <w:rPr>
          <w:strike/>
        </w:rPr>
        <w:t xml:space="preserve">for students enrolled in special education</w:t>
      </w:r>
      <w:r>
        <w:t>))</w:t>
      </w:r>
      <w:r>
        <w:rPr/>
        <w:t xml:space="preserve">.</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u w:val="single"/>
        </w:rPr>
        <w:t xml:space="preserve">(k) Beginning in school year 2019-20, the average per pupil expenditure used to determine safety net awards shall be calculated by the aggregate prior year special education expenditures differentiated by salary factor tier, as determined under RCW 28A.150.412 and the omnibus operating appropriations act. Aggregate special education expenditures for this calculation must exclude state safety net funding provided in this section.</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u w:val="single"/>
        </w:rPr>
        <w:t xml:space="preserve">(6) Beginning in fiscal year 2020, safety net appropriations provided in the omnibus operating appropriations act may not include federal funding thereby eliminating the federal expenditure ratio requirement for districts to expend three times the statewide average per pupil to qualify for state safety net awards. A state expenditure ratio requirement may be identified in the omnibus operating appropriations act but, if identified, it must be less than the federal expenditure ratio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2018-19 school year, the legislature shall begin phasing in funding for professional learning days for certificated instructional staff. At a minimum, the state must allocate funding for:</w:t>
      </w:r>
    </w:p>
    <w:p>
      <w:pPr>
        <w:spacing w:before="0" w:after="0" w:line="408" w:lineRule="exact"/>
        <w:ind w:left="0" w:right="0" w:firstLine="576"/>
        <w:jc w:val="left"/>
      </w:pPr>
      <w:r>
        <w:rPr/>
        <w:t xml:space="preserve">(a) One professional learning day in the 2018-19 school year;</w:t>
      </w:r>
    </w:p>
    <w:p>
      <w:pPr>
        <w:spacing w:before="0" w:after="0" w:line="408" w:lineRule="exact"/>
        <w:ind w:left="0" w:right="0" w:firstLine="576"/>
        <w:jc w:val="left"/>
      </w:pPr>
      <w:r>
        <w:rPr/>
        <w:t xml:space="preserve">(b) Two professional learning days in the 2019-20 school year; and</w:t>
      </w:r>
    </w:p>
    <w:p>
      <w:pPr>
        <w:spacing w:before="0" w:after="0" w:line="408" w:lineRule="exact"/>
        <w:ind w:left="0" w:right="0" w:firstLine="576"/>
        <w:jc w:val="left"/>
      </w:pPr>
      <w:r>
        <w:rPr/>
        <w:t xml:space="preserve">(c) Three professional learning days in the 2020-21 school year.</w:t>
      </w:r>
    </w:p>
    <w:p>
      <w:pPr>
        <w:spacing w:before="0" w:after="0" w:line="408" w:lineRule="exact"/>
        <w:ind w:left="0" w:right="0" w:firstLine="576"/>
        <w:jc w:val="left"/>
      </w:pPr>
      <w:r>
        <w:rPr/>
        <w:t xml:space="preserve">(2) </w:t>
      </w:r>
      <w:r>
        <w:rPr>
          <w:u w:val="single"/>
        </w:rPr>
        <w:t xml:space="preserve">The office of the superintendent of public instruction shall calculate each school district's professional learning allocation as provided in subsection (1) of this section separate from the minimum state allocation for salaries as specified in RCW 28A.150.410 and associated fringe benefits on the apportionment reports provided to each school district. The professional learning allocation shall be equal to the proportional increase resulting from adding the professional learning days provided in subsection (1) of this section to the required minimum number of school days in RCW 28A.150.220(5)(a) applied to the school district's minimum state allocation for salaries and associated fringe benefits for certificated instructional staff as specified in the omnibus operating appropriations act. Professional learning allocations shall be included in per-pupil calculations, such as special education, for programs funded on a per-student rate calculation.</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professional learning days must meet the definitions and standards provided in RCW 28A.415.430, 28A.415.432, and 28A.415.434.</w:t>
      </w:r>
    </w:p>
    <w:p>
      <w:pPr>
        <w:spacing w:before="0" w:after="0" w:line="408" w:lineRule="exact"/>
        <w:ind w:left="0" w:right="0" w:firstLine="576"/>
        <w:jc w:val="left"/>
      </w:pPr>
      <w:r>
        <w:rPr>
          <w:u w:val="single"/>
        </w:rPr>
        <w:t xml:space="preserve">(5) Federal special education allocations may be used to provide professional development to classified and certificated staff who provide educational services and supports to students with a disability, as provided in this section or under RCW 28A.413.060.</w:t>
      </w:r>
    </w:p>
    <w:p/>
    <w:p>
      <w:pPr>
        <w:jc w:val="center"/>
      </w:pPr>
      <w:r>
        <w:rPr>
          <w:b/>
        </w:rPr>
        <w:t>--- END ---</w:t>
      </w:r>
    </w:p>
    <w:sectPr>
      <w:pgNumType w:start="1"/>
      <w:footerReference xmlns:r="http://schemas.openxmlformats.org/officeDocument/2006/relationships" r:id="R98dfe3f7b02948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ab41fa0a443d6" /><Relationship Type="http://schemas.openxmlformats.org/officeDocument/2006/relationships/footer" Target="/word/footer1.xml" Id="R98dfe3f7b0294868" /></Relationships>
</file>