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27f1e829ff4295" /></Relationships>
</file>

<file path=word/document.xml><?xml version="1.0" encoding="utf-8"?>
<w:document xmlns:w="http://schemas.openxmlformats.org/wordprocessingml/2006/main">
  <w:body>
    <w:p>
      <w:r>
        <w:t>S-0061.2</w:t>
      </w:r>
    </w:p>
    <w:p>
      <w:pPr>
        <w:jc w:val="center"/>
      </w:pPr>
      <w:r>
        <w:t>_______________________________________________</w:t>
      </w:r>
    </w:p>
    <w:p/>
    <w:p>
      <w:pPr>
        <w:jc w:val="center"/>
      </w:pPr>
      <w:r>
        <w:rPr>
          <w:b/>
        </w:rPr>
        <w:t>SENATE BILL 5078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Hunt, Darneille, Saldaña, Conway, Frockt, Palumbo, Wellman, Pedersen, Mullet, and Van De Wege</w:t>
      </w:r>
    </w:p>
    <w:p/>
    <w:p>
      <w:r>
        <w:rPr>
          <w:t xml:space="preserve">Prefiled 01/04/19.</w:t>
        </w:rPr>
      </w:r>
      <w:r>
        <w:rPr>
          <w:t xml:space="preserve">Read first time 01/14/19.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disclosure of federal income tax returns of presidential and vice presidential candidates prior to appearing on the ballot; and adding a new section to chapter 29A.56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By sixty-three days before the presidential preference primary held under RCW 29A.56.020, all candidates for presidential nomination shall:</w:t>
      </w:r>
    </w:p>
    <w:p>
      <w:pPr>
        <w:spacing w:before="0" w:after="0" w:line="408" w:lineRule="exact"/>
        <w:ind w:left="0" w:right="0" w:firstLine="576"/>
        <w:jc w:val="left"/>
      </w:pPr>
      <w:r>
        <w:rPr/>
        <w:t xml:space="preserve">(a) Publicly release a copy of their federal income tax returns, as defined in 26 U.S.C. Sec. 6103(b)(1), for at least the five most recent taxable years for which a return has been filed with the internal revenue service; or</w:t>
      </w:r>
    </w:p>
    <w:p>
      <w:pPr>
        <w:spacing w:before="0" w:after="0" w:line="408" w:lineRule="exact"/>
        <w:ind w:left="0" w:right="0" w:firstLine="576"/>
        <w:jc w:val="left"/>
      </w:pPr>
      <w:r>
        <w:rPr/>
        <w:t xml:space="preserve">(b)(i) File with the secretary of state their federal income tax returns as described in (a) of this subsection; and</w:t>
      </w:r>
    </w:p>
    <w:p>
      <w:pPr>
        <w:spacing w:before="0" w:after="0" w:line="408" w:lineRule="exact"/>
        <w:ind w:left="0" w:right="0" w:firstLine="576"/>
        <w:jc w:val="left"/>
      </w:pPr>
      <w:r>
        <w:rPr/>
        <w:t xml:space="preserve">(ii) Provide written consent to the secretary of state, in a manner to be prescribed by the secretary of state by rule, for the public disclosure of such returns pursuant to this section.</w:t>
      </w:r>
    </w:p>
    <w:p>
      <w:pPr>
        <w:spacing w:before="0" w:after="0" w:line="408" w:lineRule="exact"/>
        <w:ind w:left="0" w:right="0" w:firstLine="576"/>
        <w:jc w:val="left"/>
      </w:pPr>
      <w:r>
        <w:rPr/>
        <w:t xml:space="preserve">(2) The secretary of state shall make federal income tax returns filed or released under this section publicly available on the secretary of state's web site within seven days of receipt or release. The secretary of state may make additional schedules or forms filed under this section publicly available upon request. Prior to making any federal income tax returns public, the secretary of state shall redact such information contained in the returns as deemed needed in consultation with the director of the department of revenue.</w:t>
      </w:r>
    </w:p>
    <w:p>
      <w:pPr>
        <w:spacing w:before="0" w:after="0" w:line="408" w:lineRule="exact"/>
        <w:ind w:left="0" w:right="0" w:firstLine="576"/>
        <w:jc w:val="left"/>
      </w:pPr>
      <w:r>
        <w:rPr/>
        <w:t xml:space="preserve">(3) Presidential candidates who do not comply with the requirements of subsection (1) of this section may not appear on the presidential preference primary ballot.</w:t>
      </w:r>
    </w:p>
    <w:p>
      <w:pPr>
        <w:spacing w:before="0" w:after="0" w:line="408" w:lineRule="exact"/>
        <w:ind w:left="0" w:right="0" w:firstLine="576"/>
        <w:jc w:val="left"/>
      </w:pPr>
      <w:r>
        <w:rPr/>
        <w:t xml:space="preserve">(4) By sixty-three days before a general presidential election, all candidates for president and vice president shall comply with the requirements of subsection (1) of this section. Candidates for president or vice president who do not comply with the requirements of this subsection may not appear on the general election ballot.</w:t>
      </w:r>
    </w:p>
    <w:p/>
    <w:p>
      <w:pPr>
        <w:jc w:val="center"/>
      </w:pPr>
      <w:r>
        <w:rPr>
          <w:b/>
        </w:rPr>
        <w:t>--- END ---</w:t>
      </w:r>
    </w:p>
    <w:sectPr>
      <w:pgNumType w:start="1"/>
      <w:footerReference xmlns:r="http://schemas.openxmlformats.org/officeDocument/2006/relationships" r:id="Ra43174ee057c46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cba629a9704249" /><Relationship Type="http://schemas.openxmlformats.org/officeDocument/2006/relationships/footer" Target="/word/footer1.xml" Id="Ra43174ee057c46fa" /></Relationships>
</file>