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20cffe1eb34896" /></Relationships>
</file>

<file path=word/document.xml><?xml version="1.0" encoding="utf-8"?>
<w:document xmlns:w="http://schemas.openxmlformats.org/wordprocessingml/2006/main">
  <w:body>
    <w:p>
      <w:r>
        <w:t>S-0273.1</w:t>
      </w:r>
    </w:p>
    <w:p>
      <w:pPr>
        <w:jc w:val="center"/>
      </w:pPr>
      <w:r>
        <w:t>_______________________________________________</w:t>
      </w:r>
    </w:p>
    <w:p/>
    <w:p>
      <w:pPr>
        <w:jc w:val="center"/>
      </w:pPr>
      <w:r>
        <w:rPr>
          <w:b/>
        </w:rPr>
        <w:t>SENATE BILL 5050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O'Ban and Wagoner</w:t>
      </w:r>
    </w:p>
    <w:p/>
    <w:p>
      <w:r>
        <w:rPr>
          <w:t xml:space="preserve">Prefiled 12/24/18.</w:t>
        </w:rPr>
      </w:r>
      <w:r>
        <w:rPr>
          <w:t xml:space="preserve">Read first time 01/14/19.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body armor; amending RCW 9.94A.030, 9.94A.533, and 9.94A.470; adding a new section to chapter 9.94A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during the commission of crimes some criminals wear body armor which presents an enhanced degree of danger for the public and especially law enforcement because it may significantly reduce their ability to use deadly force to eliminate the threat posed by the criminal. The legislature finds that a recent example of the threat to public safety posed by body armor when possessed by criminals in the commission of a crime resulted in the events leading to the death of Deputy Daniel Alexander McCartney.</w:t>
      </w:r>
    </w:p>
    <w:p>
      <w:pPr>
        <w:spacing w:before="0" w:after="0" w:line="408" w:lineRule="exact"/>
        <w:ind w:left="0" w:right="0" w:firstLine="576"/>
        <w:jc w:val="left"/>
      </w:pPr>
      <w:r>
        <w:rPr/>
        <w:t xml:space="preserve">Deputy McCartney served the citizens of the state as a law enforcement officer for nine years, three of which were with the Pierce county sheriff's department. On January 8, 2018, he responded to a 911 call at night regarding a burglary. According to media reports, Deputy McCartney heroically chased two suspects and exchanged fire in a gun battle with at least one suspect armed with body armor. Deputy McCartney was able to hit the suspect with body armor five times before the suspect was killed at the scene. Any one of the five shots fired by Deputy McCartney may have proved lethal had they not been deflected by the suspect's body armor. Tragically, Deputy McCartney succumbed to injuries he sustained at the scene. The legislature finds that greater penalties are necessary in order to deter the use of body armor in the commission of a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"Deputy Daniel McCartney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2018 c 166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w:t>
      </w:r>
      <w:r>
        <w:rPr>
          <w:u w:val="single"/>
        </w:rPr>
        <w:t xml:space="preserve">26.26B,</w:t>
      </w:r>
      <w:r>
        <w:rPr/>
        <w:t xml:space="preserve">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0" w:after="0" w:line="408" w:lineRule="exact"/>
        <w:ind w:left="0" w:right="0" w:firstLine="576"/>
        <w:jc w:val="left"/>
      </w:pPr>
      <w:r>
        <w:rPr>
          <w:u w:val="single"/>
        </w:rPr>
        <w:t xml:space="preserve">(59) "Body armor" means any clothing or device designed primarily to prevent penetration by a projectile fired from a firearm or by a knife, sword, or other cutting or stabbing instrument, and which is worn by an individual for that specific purpose in the commission of a crime.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w:t>
      </w:r>
      <w:r>
        <w:t>((</w:t>
      </w:r>
      <w:r>
        <w:rPr>
          <w:strike/>
        </w:rPr>
        <w:t xml:space="preserve">(f)</w:t>
      </w:r>
      <w:r>
        <w:t>))</w:t>
      </w:r>
      <w:r>
        <w:rPr/>
        <w:t xml:space="preserve"> </w:t>
      </w:r>
      <w:r>
        <w:rPr>
          <w:u w:val="single"/>
        </w:rPr>
        <w:t xml:space="preserve">(g)</w:t>
      </w:r>
      <w:r>
        <w:rPr/>
        <w:t xml:space="preserve">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w:t>
      </w:r>
      <w:r>
        <w:t>((</w:t>
      </w:r>
      <w:r>
        <w:rPr>
          <w:strike/>
        </w:rPr>
        <w:t xml:space="preserve">(f)</w:t>
      </w:r>
      <w:r>
        <w:t>))</w:t>
      </w:r>
      <w:r>
        <w:rPr/>
        <w:t xml:space="preserve"> </w:t>
      </w:r>
      <w:r>
        <w:rPr>
          <w:u w:val="single"/>
        </w:rPr>
        <w:t xml:space="preserve">(g)</w:t>
      </w:r>
      <w:r>
        <w:rPr/>
        <w:t xml:space="preserve">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w:t>
      </w:r>
      <w:r>
        <w:t>((</w:t>
      </w:r>
      <w:r>
        <w:rPr>
          <w:strike/>
        </w:rPr>
        <w:t xml:space="preserve">(f)</w:t>
      </w:r>
      <w:r>
        <w:t>))</w:t>
      </w:r>
      <w:r>
        <w:rPr/>
        <w:t xml:space="preserve"> </w:t>
      </w:r>
      <w:r>
        <w:rPr>
          <w:u w:val="single"/>
        </w:rPr>
        <w:t xml:space="preserve">(g)</w:t>
      </w:r>
      <w:r>
        <w:rPr/>
        <w:t xml:space="preserve">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w:t>
      </w:r>
      <w:r>
        <w:rPr>
          <w:u w:val="single"/>
        </w:rPr>
        <w:t xml:space="preserve">If the offender is being sentenced for any firearm enhancements under (a), (b), and/or (c) of this subsection and the offender or an accomplice of the offender was in possession of body armor at the time of the offense, all firearm enhancements under this subsection shall be twice the amount of the enhancement listed or a minimum of five years, whichever is greater;</w:t>
      </w:r>
    </w:p>
    <w:p>
      <w:pPr>
        <w:spacing w:before="0" w:after="0" w:line="408" w:lineRule="exact"/>
        <w:ind w:left="0" w:right="0" w:firstLine="576"/>
        <w:jc w:val="left"/>
      </w:pPr>
      <w:r>
        <w:rPr>
          <w:u w:val="single"/>
        </w:rPr>
        <w:t xml:space="preserve">(f)</w:t>
      </w:r>
      <w:r>
        <w:rPr/>
        <w:t xml:space="preserv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w:t>
      </w:r>
      <w:r>
        <w:rPr>
          <w:u w:val="single"/>
        </w:rPr>
        <w:t xml:space="preserve">or the offender or an accomplice was in possession of body armor at the time of the offense,</w:t>
      </w:r>
      <w:r>
        <w:rPr/>
        <w:t xml:space="preserve">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470</w:t>
      </w:r>
      <w:r>
        <w:rPr/>
        <w:t xml:space="preserve"> and 2002 c 290 s 14 are each amended to read as follows:</w:t>
      </w:r>
    </w:p>
    <w:p>
      <w:pPr>
        <w:spacing w:before="0" w:after="0" w:line="408" w:lineRule="exact"/>
        <w:ind w:left="0" w:right="0" w:firstLine="576"/>
        <w:jc w:val="left"/>
      </w:pPr>
      <w:r>
        <w:rPr/>
        <w:t xml:space="preserve">Notwithstanding the current placement or listing of crimes in categories or classifications of prosecuting standards for deciding to prosecute under RCW 9.94A.411(2), any and all felony crimes involving any deadly weapon special verdict under RCW 9.94A.602, any deadly weapon enhancements under RCW 9.94A.533 (3) or (4), or both, and any and all felony crimes as defined in RCW 9.94A.533 (3)</w:t>
      </w:r>
      <w:r>
        <w:t>((</w:t>
      </w:r>
      <w:r>
        <w:rPr>
          <w:strike/>
        </w:rPr>
        <w:t xml:space="preserve">(f)</w:t>
      </w:r>
      <w:r>
        <w:t>))</w:t>
      </w:r>
      <w:r>
        <w:rPr/>
        <w:t xml:space="preserve"> </w:t>
      </w:r>
      <w:r>
        <w:rPr>
          <w:u w:val="single"/>
        </w:rPr>
        <w:t xml:space="preserve">(g)</w:t>
      </w:r>
      <w:r>
        <w:rPr/>
        <w:t xml:space="preserve"> or (4)(f), or both, which are excluded from the deadly weapon enhancements shall all be treated as crimes against a person and subject to the prosecuting standards for deciding to prosecute under RCW 9.94A.411(2) as crimes against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a criminal case wherein there has been a special allegation and evidence establishing that the accused or an accomplice was armed with a firearm as defined in RCW 9.41.010 or deadly weapon and the offender or an accomplice was in possession of body armor as defined in RCW 9.94A.030 at the time of the commission of the crime, the court shall make a finding of fact of whether or not the accused or an accomplice was armed with a firearm or deadly weapon and in possession of body armor at the time of the commission of the crime, or if a jury trial is had, the jury shall, if it finds the defendant guilty, also find a special verdict as to whether or not the defendant or an accomplice was armed with a firearm or deadly weapon and in possession of body armor at the time of the commission of the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2019.</w:t>
      </w:r>
    </w:p>
    <w:p/>
    <w:p>
      <w:pPr>
        <w:jc w:val="center"/>
      </w:pPr>
      <w:r>
        <w:rPr>
          <w:b/>
        </w:rPr>
        <w:t>--- END ---</w:t>
      </w:r>
    </w:p>
    <w:sectPr>
      <w:pgNumType w:start="1"/>
      <w:footerReference xmlns:r="http://schemas.openxmlformats.org/officeDocument/2006/relationships" r:id="R85213484c93f4d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ea3cdcaf2d4e6e" /><Relationship Type="http://schemas.openxmlformats.org/officeDocument/2006/relationships/footer" Target="/word/footer1.xml" Id="R85213484c93f4d70" /></Relationships>
</file>