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2c62c0c2e64f5f" /></Relationships>
</file>

<file path=word/document.xml><?xml version="1.0" encoding="utf-8"?>
<w:document xmlns:w="http://schemas.openxmlformats.org/wordprocessingml/2006/main">
  <w:body>
    <w:p>
      <w:r>
        <w:t>S-1222.2</w:t>
      </w:r>
    </w:p>
    <w:p>
      <w:pPr>
        <w:jc w:val="center"/>
      </w:pPr>
      <w:r>
        <w:t>_______________________________________________</w:t>
      </w:r>
    </w:p>
    <w:p/>
    <w:p>
      <w:pPr>
        <w:jc w:val="center"/>
      </w:pPr>
      <w:r>
        <w:rPr>
          <w:b/>
        </w:rPr>
        <w:t>SUBSTITUTE SENATE BILL 5047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O'Ban and Wagoner)</w:t>
      </w:r>
    </w:p>
    <w:p/>
    <w:p>
      <w:r>
        <w:rPr>
          <w:t xml:space="preserve">READ FIRST TIME 01/31/19.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diversion from involuntary commitment through increased coordination between the veterans administration and the health care authority; amending RCW 71.05.153 and 71.05.153;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212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 if a secure detoxification facility or approved substance use disorder treatment program is available and has adequate space for the person.</w:t>
      </w:r>
    </w:p>
    <w:p>
      <w:pPr>
        <w:spacing w:before="0" w:after="0" w:line="408" w:lineRule="exact"/>
        <w:ind w:left="0" w:right="0" w:firstLine="576"/>
        <w:jc w:val="left"/>
      </w:pPr>
      <w:r>
        <w:rPr/>
        <w:t xml:space="preserve">(3)(a) Subject to (b) of this subsection, a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or (2) of this section; or</w:t>
      </w:r>
    </w:p>
    <w:p>
      <w:pPr>
        <w:spacing w:before="0" w:after="0" w:line="408" w:lineRule="exact"/>
        <w:ind w:left="0" w:right="0" w:firstLine="576"/>
        <w:jc w:val="left"/>
      </w:pPr>
      <w:r>
        <w:rPr/>
        <w:t xml:space="preserve">(ii)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based on a substance use disorder, to a secure detoxification facility or approved substance use disorder treatment program is subject to the availability of a secure detoxification facility or approved substance use disorder treatment program with adequate space for the person.</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w:t>
      </w:r>
      <w:r>
        <w:rPr>
          <w:u w:val="single"/>
        </w:rPr>
        <w:t xml:space="preserve">In conjunction with this evaluation, the facility where the patient is located must inquire as to a person's veteran status or eligibility for veterans benefits and, if the person appears to be potentially eligible for these benefits,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must work to make arrangements to have the person transported to a veterans health administration facility.</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213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w:t>
      </w:r>
    </w:p>
    <w:p>
      <w:pPr>
        <w:spacing w:before="0" w:after="0" w:line="408" w:lineRule="exact"/>
        <w:ind w:left="0" w:right="0" w:firstLine="576"/>
        <w:jc w:val="left"/>
      </w:pPr>
      <w:r>
        <w:rPr/>
        <w:t xml:space="preserve">(3) A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or (2) of this section; or</w:t>
      </w:r>
    </w:p>
    <w:p>
      <w:pPr>
        <w:spacing w:before="0" w:after="0" w:line="408" w:lineRule="exact"/>
        <w:ind w:left="0" w:right="0" w:firstLine="576"/>
        <w:jc w:val="left"/>
      </w:pPr>
      <w:r>
        <w:rPr/>
        <w:t xml:space="preserve">(b)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w:t>
      </w:r>
      <w:r>
        <w:rPr>
          <w:u w:val="single"/>
        </w:rPr>
        <w:t xml:space="preserve">In conjunction with this evaluation, the facility where the patient is located must inquire as to a person's veteran status or eligibility for veterans benefits and, if the person appears to be potentially eligible for these benefits,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must work to make arrangements to have the person transported to a veterans health administration facility.</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2026.</w:t>
      </w:r>
    </w:p>
    <w:p/>
    <w:p>
      <w:pPr>
        <w:jc w:val="center"/>
      </w:pPr>
      <w:r>
        <w:rPr>
          <w:b/>
        </w:rPr>
        <w:t>--- END ---</w:t>
      </w:r>
    </w:p>
    <w:sectPr>
      <w:pgNumType w:start="1"/>
      <w:footerReference xmlns:r="http://schemas.openxmlformats.org/officeDocument/2006/relationships" r:id="Re3b9a5db97434a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b107f339614ad4" /><Relationship Type="http://schemas.openxmlformats.org/officeDocument/2006/relationships/footer" Target="/word/footer1.xml" Id="Re3b9a5db97434a0f" /></Relationships>
</file>