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47bfc623b84315" /></Relationships>
</file>

<file path=word/document.xml><?xml version="1.0" encoding="utf-8"?>
<w:document xmlns:w="http://schemas.openxmlformats.org/wordprocessingml/2006/main">
  <w:body>
    <w:p>
      <w:r>
        <w:t>S-1466.1</w:t>
      </w:r>
    </w:p>
    <w:p>
      <w:pPr>
        <w:jc w:val="center"/>
      </w:pPr>
      <w:r>
        <w:t>_______________________________________________</w:t>
      </w:r>
    </w:p>
    <w:p/>
    <w:p>
      <w:pPr>
        <w:jc w:val="center"/>
      </w:pPr>
      <w:r>
        <w:rPr>
          <w:b/>
        </w:rPr>
        <w:t>SUBSTITUTE SENATE BILL 5026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Local Government (originally sponsored by Senators Honeyford and Fortunato)</w:t>
      </w:r>
    </w:p>
    <w:p/>
    <w:p>
      <w:r>
        <w:rPr>
          <w:t xml:space="preserve">READ FIRST TIME 02/06/19.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placement of planning boundaries in conjunction with parcel boundaries; and amending RCW 36.70A.110.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2017 c 305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Pr>
        <w:spacing w:before="0" w:after="0" w:line="408" w:lineRule="exact"/>
        <w:ind w:left="0" w:right="0" w:firstLine="576"/>
        <w:jc w:val="left"/>
      </w:pPr>
      <w:r>
        <w:rPr/>
        <w:t xml:space="preserve">(9)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 plains, fish and wildlife habitats, or geological hazards.</w:t>
      </w:r>
    </w:p>
    <w:p>
      <w:pPr>
        <w:spacing w:before="0" w:after="0" w:line="408" w:lineRule="exact"/>
        <w:ind w:left="0" w:right="0" w:firstLine="576"/>
        <w:jc w:val="left"/>
      </w:pPr>
      <w:r>
        <w:rPr>
          <w:u w:val="single"/>
        </w:rPr>
        <w:t xml:space="preserve">(10) Urban growth area boundaries shall follow parcel boundary lines existing when the land is included in the urban growth area and reasonable efforts should be made to avoid unnecessary divisions. When a parcel is or will be split by an urban growth area boundary, the part of the parcel outside of the urban growth area may only be added to the urban growth area if the land is needed to accommodate the growth management population projection or there is a corresponding reduction in the size of the urban growth area, the area to be added does not include critical areas or natural resource lands of long-term commercial significance, and the area to be added can be served by existing or planned public facilities and services during the twenty-year planning period. Any changes required by this subsection shall be made as part of the next comprehensive plan periodic update and shall not result in a finding of noncompliance before that time.</w:t>
      </w:r>
    </w:p>
    <w:p/>
    <w:p>
      <w:pPr>
        <w:jc w:val="center"/>
      </w:pPr>
      <w:r>
        <w:rPr>
          <w:b/>
        </w:rPr>
        <w:t>--- END ---</w:t>
      </w:r>
    </w:p>
    <w:sectPr>
      <w:pgNumType w:start="1"/>
      <w:footerReference xmlns:r="http://schemas.openxmlformats.org/officeDocument/2006/relationships" r:id="Rbede39e9459a40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73534a12a84d9e" /><Relationship Type="http://schemas.openxmlformats.org/officeDocument/2006/relationships/footer" Target="/word/footer1.xml" Id="Rbede39e9459a4055" /></Relationships>
</file>