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c484f51ed14ae3" /></Relationships>
</file>

<file path=word/document.xml><?xml version="1.0" encoding="utf-8"?>
<w:document xmlns:w="http://schemas.openxmlformats.org/wordprocessingml/2006/main">
  <w:body>
    <w:p>
      <w:pPr>
        <w:jc w:val="left"/>
      </w:pPr>
      <w:r>
        <w:rPr>
          <w:u w:val="single"/>
        </w:rPr>
        <w:t>HOUSE RESOLUTION NO. 2020-4689</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and locations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2020 Regular Session of the Sixty-Sixth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with approval of the Executive Rules Committee, may execute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Sixty-Sixth Legislature, as well as any committee assembly.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4689 adopted by the House of Representatives</w:t>
      </w:r>
    </w:p>
    <w:p>
      <w:pPr>
        <w:spacing w:before="0" w:after="0" w:line="240" w:lineRule="exact"/>
        <w:ind w:left="0" w:right="0" w:firstLine="0"/>
        <w:jc w:val="center"/>
      </w:pPr>
      <w:r>
        <w:rPr/>
        <w:t xml:space="preserve">March 12,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4631f48c04533" /></Relationships>
</file>