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9c0b7bb1941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2903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2020</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11, 2020</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2903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2903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Chapman, Stokesbary, Chambers, Gildon, Tharinger, and Senn</w:t>
      </w:r>
    </w:p>
    <w:p/>
    <w:p>
      <w:r>
        <w:rPr>
          <w:t xml:space="preserve">Read first time 01/30/20.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qualified dealer cash incentives paid to auto dealers are bona fide discounts for purposes of the business and occupation tax;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under RCW 82.04.290(2), there may be deducted from the measure of tax the amount of qualified dealer cash incentives.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"Motor vehicle" has the same meaning provided in RCW 46.04.320.</w:t>
      </w:r>
    </w:p>
    <w:p>
      <w:pPr>
        <w:spacing w:before="0" w:after="0" w:line="408" w:lineRule="exact"/>
        <w:ind w:left="0" w:right="0" w:firstLine="576"/>
        <w:jc w:val="left"/>
      </w:pPr>
      <w:r>
        <w:rPr/>
        <w:t xml:space="preserve">(b) "Qualified dealer cash incentive" means a payment or credit offered to a motor vehicle dealer as defined in RCW 46.70.011(17) by a manufacturer of a motor vehicle where:</w:t>
      </w:r>
    </w:p>
    <w:p>
      <w:pPr>
        <w:spacing w:before="0" w:after="0" w:line="408" w:lineRule="exact"/>
        <w:ind w:left="0" w:right="0" w:firstLine="576"/>
        <w:jc w:val="left"/>
      </w:pPr>
      <w:r>
        <w:rPr/>
        <w:t xml:space="preserve">(i) The amount of the payment or credit is based on the quantity of a specified type of motor vehicle to be sold at retail by the seller, regardless of whether the seller is required to sell a specified minimum number of vehicles;</w:t>
      </w:r>
    </w:p>
    <w:p>
      <w:pPr>
        <w:spacing w:before="0" w:after="0" w:line="408" w:lineRule="exact"/>
        <w:ind w:left="0" w:right="0" w:firstLine="576"/>
        <w:jc w:val="left"/>
      </w:pPr>
      <w:r>
        <w:rPr/>
        <w:t xml:space="preserve">(ii) The seller knew the terms of the offer before making the retail sales that generated the payment or credit from the manufacturer; and</w:t>
      </w:r>
    </w:p>
    <w:p>
      <w:pPr>
        <w:spacing w:before="0" w:after="0" w:line="408" w:lineRule="exact"/>
        <w:ind w:left="0" w:right="0" w:firstLine="576"/>
        <w:jc w:val="left"/>
      </w:pPr>
      <w:r>
        <w:rPr/>
        <w:t xml:space="preserve">(iii) The seller is not required to provide any services to the manufacturer in order to receive the payment or credit from the manufacturer. The documentation of the retail sale that generated the payment or credit from the manufacturer is not a service provided to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91bc28c754ed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cab28eae264626" /><Relationship Type="http://schemas.openxmlformats.org/officeDocument/2006/relationships/footer" Target="/word/footer1.xml" Id="R91bc28c754ed48f3" /></Relationships>
</file>