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376217690c44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2642</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2642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2642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Davis, Cody, Chopp, Harris, Leavitt, Caldier, Smith, Goodman, Orwall, Thai, Macri, Stonier, Schmick, Tharinger, Riccelli, Robinson, Griffey, Graham, Appleton, Callan, Irwin, Bergquist, Lekanoff, Barkis, Senn, Doglio, Walen, Peterson, Ormsby,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health coverage barriers to accessing substance use disorder treatment services; adding a new section to chapter 41.05 RCW; adding a new section to chapter 48.43 RCW; adding a new section to chapter 71.24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Substance use disorder is a treatable brain disease from which people recover;</w:t>
      </w:r>
    </w:p>
    <w:p>
      <w:pPr>
        <w:spacing w:before="0" w:after="0" w:line="408" w:lineRule="exact"/>
        <w:ind w:left="0" w:right="0" w:firstLine="576"/>
        <w:jc w:val="left"/>
      </w:pPr>
      <w:r>
        <w:rPr/>
        <w:t xml:space="preserve">(b) Electing to go to addiction treatment is an act of great courage; and</w:t>
      </w:r>
    </w:p>
    <w:p>
      <w:pPr>
        <w:spacing w:before="0" w:after="0" w:line="408" w:lineRule="exact"/>
        <w:ind w:left="0" w:right="0" w:firstLine="576"/>
        <w:jc w:val="left"/>
      </w:pPr>
      <w:r>
        <w:rPr/>
        <w:t xml:space="preserve">(c) When people with substance use disorder are provided rapid access to quality treatment within their window of willingness, recovery happens.</w:t>
      </w:r>
    </w:p>
    <w:p>
      <w:pPr>
        <w:spacing w:before="0" w:after="0" w:line="408" w:lineRule="exact"/>
        <w:ind w:left="0" w:right="0" w:firstLine="576"/>
        <w:jc w:val="left"/>
      </w:pPr>
      <w:r>
        <w:rPr/>
        <w:t xml:space="preserve">(2) The legislature therefore intends to ensure that there is no wrong door for individuals accessing substance use disorder treatment services by requiring coverage, and prohibiting barriers created by prior authorization and premature utilization management review when persons with substance use disorders are ready or urgently in need of treatment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health plan offered to employees and their covered dependents under this chapter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offered to employees and their covered dependents under this chapter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 The health plan may not require an enrollee to obtain prior authorization for the services specified in (a) of this subsection as a condition for payment of services prior to the times specified in (a) of this subsection. Once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section 6 of this act.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 The behavioral health agency shall document to the health plan the patient's need for continuing care and justification for level of care placement following the current treatment period, based on the standard set of criteria established under section 6 of this act, with documentation recorded in the patient's medical record.</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health plan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 The health plan may not require an enrollee to obtain prior authorization for the services specified in (a) of this subsection as a condition for payment of services prior to the times specified in (a) of this subsection. Once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section 6 of this act.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 The behavioral health agency shall document to the health plan the patient's need for continuing care and justification for level of care placement following the current treatment period, based on the standard set of criteria established under section 6 of this act, with documentation recorded in the patient's medical record.</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Beginning January 1, 2021, a managed care organization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Beginning January 1, 2021, a managed care organization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 The managed care organization may not require an enrollee to obtain prior authorization for the services specified in (a) of this subsection as a condition for payment of services prior to the times specified in (a) of this subsection. Once the times specified in (a) of this subsection have passed, the managed care organization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t xml:space="preserve">(c)(i) The behavioral health agency under (a) of this subsection must notify an enrollee's managed care organization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managed care organization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managed care organization may initiate a medical necessity review process. Medical necessity review must be based on the standard set of criteria established under section 6 of this act.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managed care organization's medical necessity review is completed more than one business day after start of the medical necessity review period and receipt of the material provided under (c)(ii) of this subsection, the managed care organization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 The behavioral health agency shall document to the managed care organization the patient's need for continuing care and justification for level of care placement following the current treatment period, based on the standard set of criteria established under section 6 of this act, with documentation recorded in the patient's medical record.</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managed care organization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managed care organization involves transfer of the enrollee to a different facility or to a lower level of care, the care coordination unit of the managed care organization shall work with the current agency to make arrangements for a seamless transfer as soon as possible to an appropriate and available facility or level of care. The managed care organization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managed care organization's network is not available, the managed care organization shall pay the current agency at the service level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develop an action plan to support admission to and improved transitions between levels of care for both adults and adolescents.</w:t>
      </w:r>
    </w:p>
    <w:p>
      <w:pPr>
        <w:spacing w:before="0" w:after="0" w:line="408" w:lineRule="exact"/>
        <w:ind w:left="0" w:right="0" w:firstLine="576"/>
        <w:jc w:val="left"/>
      </w:pPr>
      <w:r>
        <w:rPr/>
        <w:t xml:space="preserve">(2) The health care authority shall develop the action plan in partnership with the office of the insurance commissioner, medicaid managed care organizations, commercial health plans, providers of substance use disorder services, and Indian health care agencies.</w:t>
      </w:r>
    </w:p>
    <w:p>
      <w:pPr>
        <w:spacing w:before="0" w:after="0" w:line="408" w:lineRule="exact"/>
        <w:ind w:left="0" w:right="0" w:firstLine="576"/>
        <w:jc w:val="left"/>
      </w:pPr>
      <w:r>
        <w:rPr/>
        <w:t xml:space="preserve">(3) The health care authority must include the following in the action plan:</w:t>
      </w:r>
    </w:p>
    <w:p>
      <w:pPr>
        <w:spacing w:before="0" w:after="0" w:line="408" w:lineRule="exact"/>
        <w:ind w:left="0" w:right="0" w:firstLine="576"/>
        <w:jc w:val="left"/>
      </w:pPr>
      <w:r>
        <w:rPr/>
        <w:t xml:space="preserve">(a) Identification of barriers in order to facilitate transfers to the appropriate level of care, and specific actions to remove those barriers; and</w:t>
      </w:r>
    </w:p>
    <w:p>
      <w:pPr>
        <w:spacing w:before="0" w:after="0" w:line="408" w:lineRule="exact"/>
        <w:ind w:left="0" w:right="0" w:firstLine="576"/>
        <w:jc w:val="left"/>
      </w:pPr>
      <w:r>
        <w:rPr/>
        <w:t xml:space="preserve">(b) Specific actions that may lead to the increase in the number of persons successfully transitioning from one level of care to the next appropriate level of care.</w:t>
      </w:r>
    </w:p>
    <w:p>
      <w:pPr>
        <w:spacing w:before="0" w:after="0" w:line="408" w:lineRule="exact"/>
        <w:ind w:left="0" w:right="0" w:firstLine="576"/>
        <w:jc w:val="left"/>
      </w:pPr>
      <w:r>
        <w:rPr/>
        <w:t xml:space="preserve">(4) The barriers and action items to be identified and addressed in the action plan under subsection (3) of this section include, but are not limited to:</w:t>
      </w:r>
    </w:p>
    <w:p>
      <w:pPr>
        <w:spacing w:before="0" w:after="0" w:line="408" w:lineRule="exact"/>
        <w:ind w:left="0" w:right="0" w:firstLine="576"/>
        <w:jc w:val="left"/>
      </w:pPr>
      <w:r>
        <w:rPr/>
        <w:t xml:space="preserve">(a) Having the health care authority and department of health explore systems to allow higher acuity withdrawal management facilities to bill for appropriate lower levels of care while maintaining financial stability;</w:t>
      </w:r>
    </w:p>
    <w:p>
      <w:pPr>
        <w:spacing w:before="0" w:after="0" w:line="408" w:lineRule="exact"/>
        <w:ind w:left="0" w:right="0" w:firstLine="576"/>
        <w:jc w:val="left"/>
      </w:pPr>
      <w:r>
        <w:rPr/>
        <w:t xml:space="preserve">(b) Developing protocols for the initial notification by a substance use disorder treatment agency to fully insured health plans and managed care organizations in regards to an enrollee's admission to a facility and uniformity in the plan's response to the agency in regards to the receipt of this information;</w:t>
      </w:r>
    </w:p>
    <w:p>
      <w:pPr>
        <w:spacing w:before="0" w:after="0" w:line="408" w:lineRule="exact"/>
        <w:ind w:left="0" w:right="0" w:firstLine="576"/>
        <w:jc w:val="left"/>
      </w:pPr>
      <w:r>
        <w:rPr/>
        <w:t xml:space="preserve">(c) Facilitating direct transfers to withdrawal management and residential substance use disorder treatment from hospitals and jails;</w:t>
      </w:r>
    </w:p>
    <w:p>
      <w:pPr>
        <w:spacing w:before="0" w:after="0" w:line="408" w:lineRule="exact"/>
        <w:ind w:left="0" w:right="0" w:firstLine="576"/>
        <w:jc w:val="left"/>
      </w:pPr>
      <w:r>
        <w:rPr/>
        <w:t xml:space="preserve">(d) Addressing concerns related to individuals being denied withdrawal management services based on their drug of choice;</w:t>
      </w:r>
    </w:p>
    <w:p>
      <w:pPr>
        <w:spacing w:before="0" w:after="0" w:line="408" w:lineRule="exact"/>
        <w:ind w:left="0" w:right="0" w:firstLine="576"/>
        <w:jc w:val="left"/>
      </w:pPr>
      <w:r>
        <w:rPr/>
        <w:t xml:space="preserve">(e) Exploring options for allowing medicaid managed care organizations to pay an administrative rate and establishing the equivalent reimbursement mechanism for commercial health plans for a plan enrollee who needs to remain in withdrawal management or residential care until a seamless transfer can occur, but no longer requires the higher acuity level that was the reason for the initial admission; and</w:t>
      </w:r>
    </w:p>
    <w:p>
      <w:pPr>
        <w:spacing w:before="0" w:after="0" w:line="408" w:lineRule="exact"/>
        <w:ind w:left="0" w:right="0" w:firstLine="576"/>
        <w:jc w:val="left"/>
      </w:pPr>
      <w:r>
        <w:rPr/>
        <w:t xml:space="preserve">(f) Establishing the minimum amount of medical information necessary to gather from the patient for utilization reviews in a withdrawal management setting.</w:t>
      </w:r>
    </w:p>
    <w:p>
      <w:pPr>
        <w:spacing w:before="0" w:after="0" w:line="408" w:lineRule="exact"/>
        <w:ind w:left="0" w:right="0" w:firstLine="576"/>
        <w:jc w:val="left"/>
      </w:pPr>
      <w:r>
        <w:rPr/>
        <w:t xml:space="preserve">(5) For medicaid services, specific actions must align with federal and state medicaid requirements regarding medical necessity, minimize duplicative or unnecessary burdens for agencies, and be patient-centered for medicaid managed care organizations.</w:t>
      </w:r>
    </w:p>
    <w:p>
      <w:pPr>
        <w:spacing w:before="0" w:after="0" w:line="408" w:lineRule="exact"/>
        <w:ind w:left="0" w:right="0" w:firstLine="576"/>
        <w:jc w:val="left"/>
      </w:pPr>
      <w:r>
        <w:rPr/>
        <w:t xml:space="preserve">(6) The health care authority shall develop options for best communicating the action plan to substance use disorder agencies by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promoting standardized training for behavioral health professionals and facilitating communications between behavioral health agencies, executive agencies, managed care organizations, private health plans, and plans offered through the public employees' benefits board, it is the policy of the state to adopt a single standard set of criteria to define medical necessity for substance use disorder treatment and to define substance use disorder levels of care in Washington. The criteria selected must be comprehensive, widely understood and accepted in the field, and based on continuously updated research and evidence. The health care authority and the office of the insurance commissioner must independently review their regulations and practices by January 1, 2021. The health care authority may make rules if necessary to promulgate the selected standard set of criteria.</w:t>
      </w:r>
    </w:p>
    <w:p/>
    <w:p>
      <w:pPr>
        <w:jc w:val="center"/>
      </w:pPr>
      <w:r>
        <w:rPr>
          <w:b/>
        </w:rPr>
        <w:t>--- END ---</w:t>
      </w:r>
    </w:p>
    <w:sectPr>
      <w:pgNumType w:start="1"/>
      <w:footerReference xmlns:r="http://schemas.openxmlformats.org/officeDocument/2006/relationships" r:id="R42ec8a67dd0f43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4584dd01294d59" /><Relationship Type="http://schemas.openxmlformats.org/officeDocument/2006/relationships/footer" Target="/word/footer1.xml" Id="R42ec8a67dd0f43b5" /></Relationships>
</file>