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328511e2645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2640</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2020</w:t>
            </w:r>
          </w:p>
          <w:p>
            <w:pPr>
              <w:ind w:left="0" w:right="0" w:firstLine="360"/>
            </w:pPr>
            <w:r>
              <w:t xml:space="preserve">Yeas </w:t>
              <w:t xml:space="preserve">88</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2020</w:t>
            </w:r>
          </w:p>
          <w:p>
            <w:pPr>
              <w:ind w:left="0" w:right="0" w:firstLine="360"/>
            </w:pPr>
            <w:r>
              <w:t xml:space="preserve">Yeas </w:t>
              <w:t xml:space="preserve">31</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2640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Fey, Kirby, Doglio, Fitzgibbon, Orwall, Gregerson, Valdez, Peterson, and Ryu</w:t>
      </w:r>
    </w:p>
    <w:p/>
    <w:p>
      <w:r>
        <w:rPr>
          <w:t xml:space="preserve">Read first time 01/16/20.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facilities that are operated by a private entity in which persons are detained in custody under process of law pending the outcome of legal proceedings are not essential public facilities under the growth management act; amending RCW 36.70A.200;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2013 c 275 s 5 are each amended to read as follows:</w:t>
      </w:r>
    </w:p>
    <w:p>
      <w:pPr>
        <w:spacing w:before="0" w:after="0" w:line="408" w:lineRule="exact"/>
        <w:ind w:left="0" w:right="0" w:firstLine="576"/>
        <w:jc w:val="left"/>
      </w:pPr>
      <w:r>
        <w:rPr/>
        <w:t xml:space="preserve">(1)</w:t>
      </w:r>
      <w:r>
        <w:rPr>
          <w:u w:val="single"/>
        </w:rPr>
        <w:t xml:space="preserve">(a)</w:t>
      </w:r>
      <w:r>
        <w:rPr/>
        <w:t xml:space="preserve">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and inpatient facilities including substance abuse facilities, mental health facilities, group homes, and secure community transition facilities as defined in RCW 71.09.020.</w:t>
      </w:r>
    </w:p>
    <w:p>
      <w:pPr>
        <w:spacing w:before="0" w:after="0" w:line="408" w:lineRule="exact"/>
        <w:ind w:left="0" w:right="0" w:firstLine="576"/>
        <w:jc w:val="left"/>
      </w:pPr>
      <w:r>
        <w:rPr>
          <w:u w:val="single"/>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(6) or (15) or chapter 10.77 or 71.05 RCW.</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70.146.070;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land use actions imposed prior to January 1, 2018, as well as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422b744239b45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dfcd1832c4bd9" /><Relationship Type="http://schemas.openxmlformats.org/officeDocument/2006/relationships/footer" Target="/word/footer1.xml" Id="R5422b744239b4554" /></Relationships>
</file>