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390259e9ef45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2343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2020</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36</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Fitzgibbon, Frame, Macri, Doglio, Tharinger, and Pollet)</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housing supply; amending RCW 36.70A.600, 43.21C.495, 36.70A.620, and 36.70A.610; reenacting and amending RCW 36.70A.030;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600</w:t>
      </w:r>
      <w:r>
        <w:rPr/>
        <w:t xml:space="preserve"> and 2019 c 348 s 1 are each amended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w:t>
      </w:r>
      <w:r>
        <w:t>((</w:t>
      </w:r>
      <w:r>
        <w:rPr>
          <w:strike/>
        </w:rPr>
        <w:t xml:space="preserve">five</w:t>
      </w:r>
      <w:r>
        <w:t>))</w:t>
      </w:r>
      <w:r>
        <w:rPr/>
        <w:t xml:space="preserve"> </w:t>
      </w:r>
      <w:r>
        <w:rPr>
          <w:u w:val="single"/>
        </w:rPr>
        <w:t xml:space="preserve">two</w:t>
      </w:r>
      <w:r>
        <w:rPr/>
        <w:t xml:space="preserve"> hundred acres in cities with a population greater than forty thousand or not fewer than </w:t>
      </w:r>
      <w:r>
        <w:t>((</w:t>
      </w:r>
      <w:r>
        <w:rPr>
          <w:strike/>
        </w:rPr>
        <w:t xml:space="preserve">two</w:t>
      </w:r>
      <w:r>
        <w:t>))</w:t>
      </w:r>
      <w:r>
        <w:rPr/>
        <w:t xml:space="preserve"> </w:t>
      </w:r>
      <w:r>
        <w:rPr>
          <w:u w:val="single"/>
        </w:rPr>
        <w:t xml:space="preserve">one</w:t>
      </w:r>
      <w:r>
        <w:rPr/>
        <w:t xml:space="preserve"> hundred </w:t>
      </w:r>
      <w:r>
        <w:t>((</w:t>
      </w:r>
      <w:r>
        <w:rPr>
          <w:strike/>
        </w:rPr>
        <w:t xml:space="preserve">fifty</w:t>
      </w:r>
      <w:r>
        <w:t>))</w:t>
      </w:r>
      <w:r>
        <w:rPr/>
        <w:t xml:space="preserve">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w:t>
      </w:r>
      <w:r>
        <w:rPr>
          <w:u w:val="single"/>
        </w:rPr>
        <w:t xml:space="preserve">quadplex, sixplex, stacked flat, townhouse,</w:t>
      </w:r>
      <w:r>
        <w:rPr/>
        <w:t xml:space="preserve">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w:t>
      </w:r>
      <w:r>
        <w:rPr>
          <w:u w:val="single"/>
        </w:rPr>
        <w:t xml:space="preserve">Authorize a duplex, triplex, quadplex, sixplex, stacked flat, townhouse, or courtyard apartment on one or more parcels for which they are not currently authorized;</w:t>
      </w:r>
    </w:p>
    <w:p>
      <w:pPr>
        <w:spacing w:before="0" w:after="0" w:line="408" w:lineRule="exact"/>
        <w:ind w:left="0" w:right="0" w:firstLine="576"/>
        <w:jc w:val="left"/>
      </w:pPr>
      <w:r>
        <w:rPr>
          <w:u w:val="single"/>
        </w:rPr>
        <w:t xml:space="preserve">(e)</w:t>
      </w:r>
      <w:r>
        <w:rPr/>
        <w:t xml:space="preserve"> Authorize cluster zoning or lot size averaging in all zoning districts that permit single-family residences;</w:t>
      </w:r>
    </w:p>
    <w:p>
      <w:pPr>
        <w:spacing w:before="0" w:after="0" w:line="408" w:lineRule="exact"/>
        <w:ind w:left="0" w:right="0" w:firstLine="576"/>
        <w:jc w:val="left"/>
      </w:pPr>
      <w:r>
        <w:t>((</w:t>
      </w:r>
      <w:r>
        <w:rPr>
          <w:strike/>
        </w:rPr>
        <w:t xml:space="preserve">(e) Authorize attached accessory dwelling units on all parcels containing single-family homes where the lot is at least three thousand two hundred square feet in size, and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r>
        <w:t>))</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 </w:t>
      </w:r>
      <w:r>
        <w:t>((</w:t>
      </w:r>
      <w:r>
        <w:rPr>
          <w:strike/>
        </w:rPr>
        <w:t xml:space="preserve">and</w:t>
      </w:r>
      <w:r>
        <w:t>))</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 </w:t>
      </w:r>
      <w:r>
        <w:rPr>
          <w:u w:val="single"/>
        </w:rPr>
        <w:t xml:space="preserve">For purposes of this subsection, the calculation of net density does not include the square footage of areas that are otherwise prohibited from development, such as critical areas, the area of buffers around critical areas, and the area of roads and similar features;</w:t>
      </w:r>
    </w:p>
    <w:p>
      <w:pPr>
        <w:spacing w:before="0" w:after="0" w:line="408" w:lineRule="exact"/>
        <w:ind w:left="0" w:right="0" w:firstLine="576"/>
        <w:jc w:val="left"/>
      </w:pPr>
      <w:r>
        <w:rPr>
          <w:u w:val="single"/>
        </w:rPr>
        <w:t xml:space="preserve">(m) Create one or more zoning districts of medium density in which individual lots may be no larger than three thousand five hundred square feet and single-family residences may be no larger than one thousand two hundred square feet;</w:t>
      </w:r>
    </w:p>
    <w:p>
      <w:pPr>
        <w:spacing w:before="0" w:after="0" w:line="408" w:lineRule="exact"/>
        <w:ind w:left="0" w:right="0" w:firstLine="576"/>
        <w:jc w:val="left"/>
      </w:pPr>
      <w:r>
        <w:rPr>
          <w:u w:val="single"/>
        </w:rPr>
        <w:t xml:space="preserve">(n) Authorize accessory dwelling units in one or more zoning districts in which they are currently prohibited;</w:t>
      </w:r>
    </w:p>
    <w:p>
      <w:pPr>
        <w:spacing w:before="0" w:after="0" w:line="408" w:lineRule="exact"/>
        <w:ind w:left="0" w:right="0" w:firstLine="576"/>
        <w:jc w:val="left"/>
      </w:pPr>
      <w:r>
        <w:rPr>
          <w:u w:val="single"/>
        </w:rPr>
        <w:t xml:space="preserve">(o) Remove minimum residential parking requirements related to accessory dwelling units;</w:t>
      </w:r>
    </w:p>
    <w:p>
      <w:pPr>
        <w:spacing w:before="0" w:after="0" w:line="408" w:lineRule="exact"/>
        <w:ind w:left="0" w:right="0" w:firstLine="576"/>
        <w:jc w:val="left"/>
      </w:pPr>
      <w:r>
        <w:rPr>
          <w:u w:val="single"/>
        </w:rPr>
        <w:t xml:space="preserve">(p) Remove owner occupancy requirements related to accessory dwelling units;</w:t>
      </w:r>
    </w:p>
    <w:p>
      <w:pPr>
        <w:spacing w:before="0" w:after="0" w:line="408" w:lineRule="exact"/>
        <w:ind w:left="0" w:right="0" w:firstLine="576"/>
        <w:jc w:val="left"/>
      </w:pPr>
      <w:r>
        <w:rPr>
          <w:u w:val="single"/>
        </w:rPr>
        <w:t xml:space="preserve">(q) Adopt new square footage requirements related to accessory dwelling units that are less restrictive than existing square footage requirements related to accessory dwelling units;</w:t>
      </w:r>
    </w:p>
    <w:p>
      <w:pPr>
        <w:spacing w:before="0" w:after="0" w:line="408" w:lineRule="exact"/>
        <w:ind w:left="0" w:right="0" w:firstLine="576"/>
        <w:jc w:val="left"/>
      </w:pPr>
      <w:r>
        <w:rPr>
          <w:u w:val="single"/>
        </w:rPr>
        <w:t xml:space="preserve">(r) Adopt maximum allowable exemption levels in WAC 197-11-800(1) as it existed on the effective date of this section, or such subsequent date as may be provided by the department of ecology by rule, consistent with the purposes of this section;</w:t>
      </w:r>
    </w:p>
    <w:p>
      <w:pPr>
        <w:spacing w:before="0" w:after="0" w:line="408" w:lineRule="exact"/>
        <w:ind w:left="0" w:right="0" w:firstLine="576"/>
        <w:jc w:val="left"/>
      </w:pPr>
      <w:r>
        <w:rPr>
          <w:u w:val="single"/>
        </w:rPr>
        <w:t xml:space="preserve">(s) Adopt standards for administrative approval of final plats pursuant to RCW 58.17.100;</w:t>
      </w:r>
    </w:p>
    <w:p>
      <w:pPr>
        <w:spacing w:before="0" w:after="0" w:line="408" w:lineRule="exact"/>
        <w:ind w:left="0" w:right="0" w:firstLine="576"/>
        <w:jc w:val="left"/>
      </w:pPr>
      <w:r>
        <w:rPr>
          <w:u w:val="single"/>
        </w:rPr>
        <w:t xml:space="preserve">(t) Adopt ordinances authorizing administrative review of preliminary plats pursuant to RCW 58.17.095;</w:t>
      </w:r>
    </w:p>
    <w:p>
      <w:pPr>
        <w:spacing w:before="0" w:after="0" w:line="408" w:lineRule="exact"/>
        <w:ind w:left="0" w:right="0" w:firstLine="576"/>
        <w:jc w:val="left"/>
      </w:pPr>
      <w:r>
        <w:rPr>
          <w:u w:val="single"/>
        </w:rPr>
        <w:t xml:space="preserve">(u) Adopt other permit process improvements where it is demonstrated that the code, development regulation, or ordinance changes will result in a more efficient permit process for customers;</w:t>
      </w:r>
    </w:p>
    <w:p>
      <w:pPr>
        <w:spacing w:before="0" w:after="0" w:line="408" w:lineRule="exact"/>
        <w:ind w:left="0" w:right="0" w:firstLine="576"/>
        <w:jc w:val="left"/>
      </w:pPr>
      <w:r>
        <w:rPr>
          <w:u w:val="single"/>
        </w:rPr>
        <w:t xml:space="preserve">(v) Update use matrices and allowable use tables that eliminate conditional use permits and administrative conditional use permits for all housing types, including single-family homes, townhomes, multifamily housing, low-income housing, and senior housing, but excluding essential public facilities;</w:t>
      </w:r>
    </w:p>
    <w:p>
      <w:pPr>
        <w:spacing w:before="0" w:after="0" w:line="408" w:lineRule="exact"/>
        <w:ind w:left="0" w:right="0" w:firstLine="576"/>
        <w:jc w:val="left"/>
      </w:pPr>
      <w:r>
        <w:rPr>
          <w:u w:val="single"/>
        </w:rPr>
        <w:t xml:space="preserve">(w) Allow off-street parking to compensate for lack of on-street parking when private roads are utilized or a parking demand study shows that less parking is required for the project;</w:t>
      </w:r>
    </w:p>
    <w:p>
      <w:pPr>
        <w:spacing w:before="0" w:after="0" w:line="408" w:lineRule="exact"/>
        <w:ind w:left="0" w:right="0" w:firstLine="576"/>
        <w:jc w:val="left"/>
      </w:pPr>
      <w:r>
        <w:rPr>
          <w:u w:val="single"/>
        </w:rPr>
        <w:t xml:space="preserve">(x) Develop a local program that offers homeowners a combination of financing, design, permitting, or construction support to build accessory dwelling units. A city may condition this program on a requirement to provide the unit for affordable home ownership or rent the accessory dwelling unit for a defined period of time to either tenants in a housing subsidy program as defined in RCW 43.31.605(14) or to tenants whose income is less than eighty percent of the city or county median family income. If the city includes an affordability requirement under the program, it must provide additional incentives, such as:</w:t>
      </w:r>
    </w:p>
    <w:p>
      <w:pPr>
        <w:spacing w:before="0" w:after="0" w:line="408" w:lineRule="exact"/>
        <w:ind w:left="0" w:right="0" w:firstLine="576"/>
        <w:jc w:val="left"/>
      </w:pPr>
      <w:r>
        <w:rPr>
          <w:u w:val="single"/>
        </w:rPr>
        <w:t xml:space="preserve">(i) Density bonuses;</w:t>
      </w:r>
    </w:p>
    <w:p>
      <w:pPr>
        <w:spacing w:before="0" w:after="0" w:line="408" w:lineRule="exact"/>
        <w:ind w:left="0" w:right="0" w:firstLine="576"/>
        <w:jc w:val="left"/>
      </w:pPr>
      <w:r>
        <w:rPr>
          <w:u w:val="single"/>
        </w:rPr>
        <w:t xml:space="preserve">(ii) Height and bulk bonuses;</w:t>
      </w:r>
    </w:p>
    <w:p>
      <w:pPr>
        <w:spacing w:before="0" w:after="0" w:line="408" w:lineRule="exact"/>
        <w:ind w:left="0" w:right="0" w:firstLine="576"/>
        <w:jc w:val="left"/>
      </w:pPr>
      <w:r>
        <w:rPr>
          <w:u w:val="single"/>
        </w:rPr>
        <w:t xml:space="preserve">(iii) Fee waivers or exemptions;</w:t>
      </w:r>
    </w:p>
    <w:p>
      <w:pPr>
        <w:spacing w:before="0" w:after="0" w:line="408" w:lineRule="exact"/>
        <w:ind w:left="0" w:right="0" w:firstLine="576"/>
        <w:jc w:val="left"/>
      </w:pPr>
      <w:r>
        <w:rPr>
          <w:u w:val="single"/>
        </w:rPr>
        <w:t xml:space="preserve">(iv) Parking reductions; or</w:t>
      </w:r>
    </w:p>
    <w:p>
      <w:pPr>
        <w:spacing w:before="0" w:after="0" w:line="408" w:lineRule="exact"/>
        <w:ind w:left="0" w:right="0" w:firstLine="576"/>
        <w:jc w:val="left"/>
      </w:pPr>
      <w:r>
        <w:rPr>
          <w:u w:val="single"/>
        </w:rPr>
        <w:t xml:space="preserve">(v) Expedited permitting; and</w:t>
      </w:r>
    </w:p>
    <w:p>
      <w:pPr>
        <w:spacing w:before="0" w:after="0" w:line="408" w:lineRule="exact"/>
        <w:ind w:left="0" w:right="0" w:firstLine="576"/>
        <w:jc w:val="left"/>
      </w:pPr>
      <w:r>
        <w:rPr>
          <w:u w:val="single"/>
        </w:rPr>
        <w:t xml:space="preserve">(y) Develop a local program that offers homeowners a combination of financing, design, permitting, or construction support to convert a single-family home into a duplex, triplex, or quadplex where those housing types are authorized. A local government may condition this program on a requirement to provide a certain number of units for affordable home ownership or to rent a certain number of the newly created units for a defined period of time to either tenants in a housing subsidy program as defined in RCW 43.31.605(14) or to tenants whose income is less than eighty percent of the city or county median family income. If the city includes an affordability requirement, it must provide additional incentives, such as:</w:t>
      </w:r>
    </w:p>
    <w:p>
      <w:pPr>
        <w:spacing w:before="0" w:after="0" w:line="408" w:lineRule="exact"/>
        <w:ind w:left="0" w:right="0" w:firstLine="576"/>
        <w:jc w:val="left"/>
      </w:pPr>
      <w:r>
        <w:rPr>
          <w:u w:val="single"/>
        </w:rPr>
        <w:t xml:space="preserve">(i) Density bonuses;</w:t>
      </w:r>
    </w:p>
    <w:p>
      <w:pPr>
        <w:spacing w:before="0" w:after="0" w:line="408" w:lineRule="exact"/>
        <w:ind w:left="0" w:right="0" w:firstLine="576"/>
        <w:jc w:val="left"/>
      </w:pPr>
      <w:r>
        <w:rPr>
          <w:u w:val="single"/>
        </w:rPr>
        <w:t xml:space="preserve">(ii) Height and bulk bonuses;</w:t>
      </w:r>
    </w:p>
    <w:p>
      <w:pPr>
        <w:spacing w:before="0" w:after="0" w:line="408" w:lineRule="exact"/>
        <w:ind w:left="0" w:right="0" w:firstLine="576"/>
        <w:jc w:val="left"/>
      </w:pPr>
      <w:r>
        <w:rPr>
          <w:u w:val="single"/>
        </w:rPr>
        <w:t xml:space="preserve">(iii) Fee waivers or exemptions;</w:t>
      </w:r>
    </w:p>
    <w:p>
      <w:pPr>
        <w:spacing w:before="0" w:after="0" w:line="408" w:lineRule="exact"/>
        <w:ind w:left="0" w:right="0" w:firstLine="576"/>
        <w:jc w:val="left"/>
      </w:pPr>
      <w:r>
        <w:rPr>
          <w:u w:val="single"/>
        </w:rPr>
        <w:t xml:space="preserve">(iv) Parking reductions; or</w:t>
      </w:r>
    </w:p>
    <w:p>
      <w:pPr>
        <w:spacing w:before="0" w:after="0" w:line="408" w:lineRule="exact"/>
        <w:ind w:left="0" w:right="0" w:firstLine="576"/>
        <w:jc w:val="left"/>
      </w:pPr>
      <w:r>
        <w:rPr>
          <w:u w:val="single"/>
        </w:rPr>
        <w:t xml:space="preserve">(v) Expedited permitting.</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RCW 36.70A.610.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w:t>
      </w:r>
      <w:r>
        <w:t>((</w:t>
      </w:r>
      <w:r>
        <w:rPr>
          <w:strike/>
        </w:rPr>
        <w:t xml:space="preserve">2021</w:t>
      </w:r>
      <w:r>
        <w:t>))</w:t>
      </w:r>
      <w:r>
        <w:rPr/>
        <w:t xml:space="preserve"> </w:t>
      </w:r>
      <w:r>
        <w:rPr>
          <w:u w:val="single"/>
        </w:rPr>
        <w:t xml:space="preserve">2023</w:t>
      </w:r>
      <w:r>
        <w:rPr/>
        <w:t xml:space="preserve">,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w:t>
      </w:r>
      <w:r>
        <w:t>((</w:t>
      </w:r>
      <w:r>
        <w:rPr>
          <w:strike/>
        </w:rPr>
        <w:t xml:space="preserve">2021</w:t>
      </w:r>
      <w:r>
        <w:t>))</w:t>
      </w:r>
      <w:r>
        <w:rPr/>
        <w:t xml:space="preserve"> </w:t>
      </w:r>
      <w:r>
        <w:rPr>
          <w:u w:val="single"/>
        </w:rPr>
        <w:t xml:space="preserve">2023</w:t>
      </w:r>
      <w:r>
        <w:rPr/>
        <w:t xml:space="preserve">, to amend their comprehensive plan, or adopt or amend ordinances or development regulations, solely to enact provisions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w:t>
      </w:r>
      <w:r>
        <w:t>((</w:t>
      </w:r>
      <w:r>
        <w:rPr>
          <w:strike/>
        </w:rPr>
        <w:t xml:space="preserve">with a population over twenty thousand</w:t>
      </w:r>
      <w:r>
        <w:t>))</w:t>
      </w:r>
      <w:r>
        <w:rPr/>
        <w:t xml:space="preserve"> that is planning to take at least two actions under subsection (1) of this section, and that action will occur between July 28, 2019,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is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that will seek grant assistance, to ensure that all cities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chapter 348, Laws of 2019,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2019 c 348 s 4 are each amended to read as follows:</w:t>
      </w:r>
    </w:p>
    <w:p>
      <w:pPr>
        <w:spacing w:before="0" w:after="0" w:line="408" w:lineRule="exact"/>
        <w:ind w:left="0" w:right="0" w:firstLine="576"/>
        <w:jc w:val="left"/>
      </w:pPr>
      <w:r>
        <w:rPr/>
        <w:t xml:space="preserve">If adopted by April 1, </w:t>
      </w:r>
      <w:r>
        <w:t>((</w:t>
      </w:r>
      <w:r>
        <w:rPr>
          <w:strike/>
        </w:rPr>
        <w:t xml:space="preserve">2021</w:t>
      </w:r>
      <w:r>
        <w:t>))</w:t>
      </w:r>
      <w:r>
        <w:rPr/>
        <w:t xml:space="preserve"> </w:t>
      </w:r>
      <w:r>
        <w:rPr>
          <w:u w:val="single"/>
        </w:rPr>
        <w:t xml:space="preserve">2023</w:t>
      </w:r>
      <w:r>
        <w:rPr/>
        <w:t xml:space="preserve">,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2019 c 348 s 5 are each amended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transit stop that receives transit service at least </w:t>
      </w:r>
      <w:r>
        <w:t>((</w:t>
      </w:r>
      <w:r>
        <w:rPr>
          <w:strike/>
        </w:rPr>
        <w:t xml:space="preserve">four</w:t>
      </w:r>
      <w:r>
        <w:t>))</w:t>
      </w:r>
      <w:r>
        <w:rPr/>
        <w:t xml:space="preserve"> </w:t>
      </w:r>
      <w:r>
        <w:rPr>
          <w:u w:val="single"/>
        </w:rPr>
        <w:t xml:space="preserve">two</w:t>
      </w:r>
      <w:r>
        <w:rPr/>
        <w:t xml:space="preserve">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u w:val="singl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2019 c 348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(10)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(11)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(12)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(15) "Minerals" include gravel, sand, and valuable metallic substances.</w:t>
      </w:r>
    </w:p>
    <w:p>
      <w:pPr>
        <w:spacing w:before="0" w:after="0" w:line="408" w:lineRule="exact"/>
        <w:ind w:left="0" w:right="0" w:firstLine="576"/>
        <w:jc w:val="left"/>
      </w:pPr>
      <w:r>
        <w:rPr/>
        <w:t xml:space="preserve">(16) "Permanent supportive housing" is subsidized, leased housing with no limit on length of stay</w:t>
      </w:r>
      <w:r>
        <w:t>((</w:t>
      </w:r>
      <w:r>
        <w:rPr>
          <w:strike/>
        </w:rPr>
        <w:t xml:space="preserve">, paired with on-site or off-site voluntary services designed to support a person living with a disability to be a successful tenant in a housing arrangement, improve the resident's health status, and connect residents of the housing with community-based health care, treatment, and employment services</w:t>
      </w:r>
      <w:r>
        <w:t>))</w:t>
      </w:r>
      <w:r>
        <w:rPr/>
        <w:t xml:space="preserve"> </w:t>
      </w:r>
      <w:r>
        <w:rPr>
          <w:u w:val="single"/>
        </w:rPr>
        <w:t xml:space="preserve">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r>
        <w:rPr/>
        <w:t xml:space="preserve">.</w:t>
      </w:r>
    </w:p>
    <w:p>
      <w:pPr>
        <w:spacing w:before="0" w:after="0" w:line="408" w:lineRule="exact"/>
        <w:ind w:left="0" w:right="0" w:firstLine="576"/>
        <w:jc w:val="left"/>
      </w:pPr>
      <w:r>
        <w:rPr/>
        <w:t xml:space="preserve">(17)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(18)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(19)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(20)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(21)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(22)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(23) "Short line railroad" means those railroad lines designated class II or class III by the United States surface transportation board.</w:t>
      </w:r>
    </w:p>
    <w:p>
      <w:pPr>
        <w:spacing w:before="0" w:after="0" w:line="408" w:lineRule="exact"/>
        <w:ind w:left="0" w:right="0" w:firstLine="576"/>
        <w:jc w:val="left"/>
      </w:pPr>
      <w:r>
        <w:rPr/>
        <w:t xml:space="preserve">(24)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(25)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(26) "Urban growth areas" means those areas designated by a county pursuant to RCW 36.70A.110.</w:t>
      </w:r>
    </w:p>
    <w:p>
      <w:pPr>
        <w:spacing w:before="0" w:after="0" w:line="408" w:lineRule="exact"/>
        <w:ind w:left="0" w:right="0" w:firstLine="576"/>
        <w:jc w:val="left"/>
      </w:pPr>
      <w:r>
        <w:rPr/>
        <w:t xml:space="preserve">(27)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remove parking as an element of the environment within WAC 197-11-444 and as a component of the environmental checklist within WAC 197-11-960, as those sections existed on the effective date of this section, the next time that the department amends rules implementing chapter 43.21C RCW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610</w:t>
      </w:r>
      <w:r>
        <w:rPr/>
        <w:t xml:space="preserve"> and 2019 c 348 s 3 are each amended to read as follows:</w:t>
      </w:r>
    </w:p>
    <w:p>
      <w:pPr>
        <w:spacing w:before="0" w:after="0" w:line="408" w:lineRule="exact"/>
        <w:ind w:left="0" w:right="0" w:firstLine="576"/>
        <w:jc w:val="left"/>
      </w:pPr>
      <w:r>
        <w:rPr>
          <w:u w:val="single"/>
        </w:rPr>
        <w:t xml:space="preserve">(1)</w:t>
      </w:r>
      <w:r>
        <w:rPr/>
        <w:t xml:space="preserve"> The Washington center for real estate research at the University of Washington shall produce a </w:t>
      </w:r>
      <w:r>
        <w:t>((</w:t>
      </w:r>
      <w:r>
        <w:rPr>
          <w:strike/>
        </w:rPr>
        <w:t xml:space="preserve">report every two years</w:t>
      </w:r>
      <w:r>
        <w:t>))</w:t>
      </w:r>
      <w:r>
        <w:rPr/>
        <w:t xml:space="preserve"> </w:t>
      </w:r>
      <w:r>
        <w:rPr>
          <w:u w:val="single"/>
        </w:rPr>
        <w:t xml:space="preserve">series of reports as described in this section</w:t>
      </w:r>
      <w:r>
        <w:rPr/>
        <w:t xml:space="preserve"> that compiles housing supply and affordability metrics for each city planning under RCW 36.70A.040 with a population of ten thousand or more.</w:t>
      </w:r>
    </w:p>
    <w:p>
      <w:pPr>
        <w:spacing w:before="0" w:after="0" w:line="408" w:lineRule="exact"/>
        <w:ind w:left="0" w:right="0" w:firstLine="576"/>
        <w:jc w:val="left"/>
      </w:pPr>
      <w:r>
        <w:rPr>
          <w:u w:val="single"/>
        </w:rPr>
        <w:t xml:space="preserve">(a)</w:t>
      </w:r>
      <w:r>
        <w:rPr/>
        <w:t xml:space="preserve"> The initial report, completed by October 15, 2020, must be a compilation of objective criteria relating to </w:t>
      </w:r>
      <w:r>
        <w:t>((</w:t>
      </w:r>
      <w:r>
        <w:rPr>
          <w:strike/>
        </w:rPr>
        <w:t xml:space="preserve">development regulations, zoning,</w:t>
      </w:r>
      <w:r>
        <w:t>))</w:t>
      </w:r>
      <w:r>
        <w:rPr/>
        <w:t xml:space="preserve"> income, </w:t>
      </w:r>
      <w:r>
        <w:rPr>
          <w:u w:val="single"/>
        </w:rPr>
        <w:t xml:space="preserve">employment,</w:t>
      </w:r>
      <w:r>
        <w:rPr/>
        <w:t xml:space="preserve"> housing and rental prices, housing affordability </w:t>
      </w:r>
      <w:r>
        <w:t>((</w:t>
      </w:r>
      <w:r>
        <w:rPr>
          <w:strike/>
        </w:rPr>
        <w:t xml:space="preserve">programs</w:t>
      </w:r>
      <w:r>
        <w:t>))</w:t>
      </w:r>
      <w:r>
        <w:rPr/>
        <w:t xml:space="preserve"> </w:t>
      </w:r>
      <w:r>
        <w:rPr>
          <w:u w:val="single"/>
        </w:rPr>
        <w:t xml:space="preserve">by housing tenure</w:t>
      </w:r>
      <w:r>
        <w:rPr/>
        <w:t xml:space="preserve">, and other metrics relevant to assessing housing supply and affordability for all income segments, including the percentage of cost-burdened households</w:t>
      </w:r>
      <w:r>
        <w:t>((</w:t>
      </w:r>
      <w:r>
        <w:rPr>
          <w:strike/>
        </w:rPr>
        <w:t xml:space="preserve">,</w:t>
      </w:r>
      <w:r>
        <w:t>))</w:t>
      </w:r>
      <w:r>
        <w:rPr/>
        <w:t xml:space="preserve"> of each </w:t>
      </w:r>
      <w:r>
        <w:t>((</w:t>
      </w:r>
      <w:r>
        <w:rPr>
          <w:strike/>
        </w:rPr>
        <w:t xml:space="preserve">city subject to the report required by this section</w:t>
      </w:r>
      <w:r>
        <w:t>))</w:t>
      </w:r>
      <w:r>
        <w:rPr/>
        <w:t xml:space="preserve"> </w:t>
      </w:r>
      <w:r>
        <w:rPr>
          <w:u w:val="single"/>
        </w:rPr>
        <w:t xml:space="preserve">jurisdiction</w:t>
      </w:r>
      <w:r>
        <w:rPr/>
        <w:t xml:space="preserve">. </w:t>
      </w:r>
      <w:r>
        <w:rPr>
          <w:u w:val="single"/>
        </w:rPr>
        <w:t xml:space="preserve">This report may also include city-specific median income data for those cities implementing the multifamily tax exemption program under chapter 84.14 RCW.</w:t>
      </w:r>
    </w:p>
    <w:p>
      <w:pPr>
        <w:spacing w:before="0" w:after="0" w:line="408" w:lineRule="exact"/>
        <w:ind w:left="0" w:right="0" w:firstLine="576"/>
        <w:jc w:val="left"/>
      </w:pPr>
      <w:r>
        <w:rPr>
          <w:u w:val="single"/>
        </w:rPr>
        <w:t xml:space="preserve">(b) The report completed by October 15, 2021, must include an analysis of the private rental housing market for each area outlining the number of units, vacancy rates, and rents by unit type, where possible. This analysis should separate market rate multifamily rental housing developments and other smaller scale market rate rental housing. This analysis should also incorporate data from the Washington state housing finance commission on subsidized rental housing in the area consistent with the first report under this subsection.</w:t>
      </w:r>
    </w:p>
    <w:p>
      <w:pPr>
        <w:spacing w:before="0" w:after="0" w:line="408" w:lineRule="exact"/>
        <w:ind w:left="0" w:right="0" w:firstLine="576"/>
        <w:jc w:val="left"/>
      </w:pPr>
      <w:r>
        <w:rPr>
          <w:u w:val="single"/>
        </w:rPr>
        <w:t xml:space="preserve">(c)</w:t>
      </w:r>
      <w:r>
        <w:rPr/>
        <w:t xml:space="preserve"> The report completed by October 15, 2022, must also include data relating to actions taken by cities under chapter 348, Laws of 2019 </w:t>
      </w:r>
      <w:r>
        <w:rPr>
          <w:u w:val="single"/>
        </w:rPr>
        <w:t xml:space="preserve">as well as detailed information on development regulations, levies and fees, and zoning related to housing development</w:t>
      </w:r>
      <w:r>
        <w:rPr/>
        <w:t xml:space="preserve">.</w:t>
      </w:r>
    </w:p>
    <w:p>
      <w:pPr>
        <w:spacing w:before="0" w:after="0" w:line="408" w:lineRule="exact"/>
        <w:ind w:left="0" w:right="0" w:firstLine="576"/>
        <w:jc w:val="left"/>
      </w:pPr>
      <w:r>
        <w:rPr>
          <w:u w:val="single"/>
        </w:rPr>
        <w:t xml:space="preserve">(d)</w:t>
      </w:r>
      <w:r>
        <w:rPr/>
        <w:t xml:space="preserve"> The report completed by October 15, 2024, </w:t>
      </w:r>
      <w:r>
        <w:rPr>
          <w:u w:val="single"/>
        </w:rPr>
        <w:t xml:space="preserve">and every two years thereafter,</w:t>
      </w:r>
      <w:r>
        <w:rPr/>
        <w:t xml:space="preserve"> must also include relevant data relating to buildable lands reports prepared under RCW 36.70A.215, where applicable, and updates to comprehensive plans under this chapter.</w:t>
      </w:r>
    </w:p>
    <w:p>
      <w:pPr>
        <w:spacing w:before="0" w:after="0" w:line="408" w:lineRule="exact"/>
        <w:ind w:left="0" w:right="0" w:firstLine="576"/>
        <w:jc w:val="left"/>
      </w:pPr>
      <w:r>
        <w:rPr>
          <w:u w:val="single"/>
        </w:rPr>
        <w:t xml:space="preserve">(2)</w:t>
      </w:r>
      <w:r>
        <w:rPr/>
        <w:t xml:space="preserve"> The Washington center for real estate research shall collaborate with the Washington housing finance commission and the office of financial management to develop the metrics compiled in the </w:t>
      </w:r>
      <w:r>
        <w:t>((</w:t>
      </w:r>
      <w:r>
        <w:rPr>
          <w:strike/>
        </w:rPr>
        <w:t xml:space="preserve">report</w:t>
      </w:r>
      <w:r>
        <w:t>))</w:t>
      </w:r>
      <w:r>
        <w:rPr/>
        <w:t xml:space="preserve"> </w:t>
      </w:r>
      <w:r>
        <w:rPr>
          <w:u w:val="single"/>
        </w:rPr>
        <w:t xml:space="preserve">series of reports under this section</w:t>
      </w:r>
      <w:r>
        <w:rPr/>
        <w:t xml:space="preserve">.</w:t>
      </w:r>
    </w:p>
    <w:p>
      <w:pPr>
        <w:spacing w:before="0" w:after="0" w:line="408" w:lineRule="exact"/>
        <w:ind w:left="0" w:right="0" w:firstLine="576"/>
        <w:jc w:val="left"/>
      </w:pPr>
      <w:r>
        <w:rPr>
          <w:u w:val="single"/>
        </w:rPr>
        <w:t xml:space="preserve">(3)</w:t>
      </w:r>
      <w:r>
        <w:rPr/>
        <w:t xml:space="preserve"> The </w:t>
      </w:r>
      <w:r>
        <w:t>((</w:t>
      </w:r>
      <w:r>
        <w:rPr>
          <w:strike/>
        </w:rPr>
        <w:t xml:space="preserve">report</w:t>
      </w:r>
      <w:r>
        <w:t>))</w:t>
      </w:r>
      <w:r>
        <w:rPr/>
        <w:t xml:space="preserve"> </w:t>
      </w:r>
      <w:r>
        <w:rPr>
          <w:u w:val="single"/>
        </w:rPr>
        <w:t xml:space="preserve">series of reports under this section</w:t>
      </w:r>
      <w:r>
        <w:rPr/>
        <w:t xml:space="preserve"> must be submitted, consistent with RCW 43.01.036, to the standing committees of the legislature with jurisdiction over housing issues and this chapter.</w:t>
      </w:r>
    </w:p>
    <w:p/>
    <w:p>
      <w:pPr>
        <w:jc w:val="center"/>
      </w:pPr>
      <w:r>
        <w:rPr>
          <w:b/>
        </w:rPr>
        <w:t>--- END ---</w:t>
      </w:r>
    </w:p>
    <w:sectPr>
      <w:pgNumType w:start="1"/>
      <w:footerReference xmlns:r="http://schemas.openxmlformats.org/officeDocument/2006/relationships" r:id="R81fc4e4b712946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3c15864d4847f7" /><Relationship Type="http://schemas.openxmlformats.org/officeDocument/2006/relationships/footer" Target="/word/footer1.xml" Id="R81fc4e4b712946e3" /></Relationships>
</file>