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4690905a24c3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2189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2189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2189</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Leavitt, Irwin, Sells, MacEwen, Fitzgibbon, Wylie, Corry, Tharinger, Kilduff, Callan, Davis, Robinson, Doglio, Slatter, Ryu, Griffey, Ormsby, and Harris</w:t>
      </w:r>
    </w:p>
    <w:p/>
    <w:p>
      <w:r>
        <w:rPr>
          <w:t xml:space="preserve">Prefiled 12/03/19.</w:t>
        </w:rPr>
      </w:r>
      <w:r>
        <w:rPr>
          <w:t xml:space="preserve">Read first time 01/13/20.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specified competency restoration workers at department of social and health services institutional and residential sites in the public safety employees retirement system; and amending RCW 41.37.010.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2019 c 470 s 7 are each amended to read as follows:</w:t>
      </w:r>
    </w:p>
    <w:p>
      <w:pPr>
        <w:spacing w:before="0" w:after="0" w:line="408" w:lineRule="exact"/>
        <w:ind w:left="0" w:right="0" w:firstLine="576"/>
        <w:jc w:val="left"/>
      </w:pPr>
      <w:r>
        <w:rPr/>
        <w:t xml:space="preserve">The definitions in this section apply throughout this chapter</w:t>
      </w:r>
      <w:r>
        <w:t>((</w:t>
      </w:r>
      <w:r>
        <w:rPr>
          <w:strike/>
        </w:rPr>
        <w:t xml:space="preserve">,</w:t>
      </w:r>
      <w:r>
        <w:t>))</w:t>
      </w:r>
      <w:r>
        <w:rPr/>
        <w:t xml:space="preserve">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the Washington state liquor and cannabis board, the Washington state department of veterans affairs, the Washington state department of children, youth, and families, and the Washington state department of social and health services;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w:t>
      </w:r>
    </w:p>
    <w:p>
      <w:pPr>
        <w:spacing w:before="0" w:after="0" w:line="408" w:lineRule="exact"/>
        <w:ind w:left="0" w:right="0" w:firstLine="576"/>
        <w:jc w:val="left"/>
      </w:pPr>
      <w:r>
        <w:rPr/>
        <w:t xml:space="preserve">(d) 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 or the department of children, youth, and families:</w:t>
      </w:r>
    </w:p>
    <w:p>
      <w:pPr>
        <w:spacing w:before="0" w:after="0" w:line="408" w:lineRule="exact"/>
        <w:ind w:left="0" w:right="0" w:firstLine="576"/>
        <w:jc w:val="left"/>
      </w:pPr>
      <w:r>
        <w:rPr/>
        <w:t xml:space="preserve">(i) Juvenile rehabilitation administration institutions, not including community facilities;</w:t>
      </w:r>
    </w:p>
    <w:p>
      <w:pPr>
        <w:spacing w:before="0" w:after="0" w:line="408" w:lineRule="exact"/>
        <w:ind w:left="0" w:right="0" w:firstLine="576"/>
        <w:jc w:val="left"/>
      </w:pPr>
      <w:r>
        <w:rPr/>
        <w:t xml:space="preserve">(ii) Mental health hospitals;</w:t>
      </w:r>
    </w:p>
    <w:p>
      <w:pPr>
        <w:spacing w:before="0" w:after="0" w:line="408" w:lineRule="exact"/>
        <w:ind w:left="0" w:right="0" w:firstLine="576"/>
        <w:jc w:val="left"/>
      </w:pPr>
      <w:r>
        <w:rPr/>
        <w:t xml:space="preserve">(iii) Child study and treatment centers; or</w:t>
      </w:r>
    </w:p>
    <w:p>
      <w:pPr>
        <w:spacing w:before="0" w:after="0" w:line="408" w:lineRule="exact"/>
        <w:ind w:left="0" w:right="0" w:firstLine="576"/>
        <w:jc w:val="left"/>
      </w:pPr>
      <w:r>
        <w:rPr/>
        <w:t xml:space="preserve">(iv) Institutions or residential sites that serve developmentally disabled patients or offenders, </w:t>
      </w:r>
      <w:r>
        <w:rPr>
          <w:u w:val="single"/>
        </w:rPr>
        <w:t xml:space="preserve">or perform competency restoration services,</w:t>
      </w:r>
      <w:r>
        <w:rPr/>
        <w:t xml:space="preserve"> except for state-operated living alternatives facilities;</w:t>
      </w:r>
    </w:p>
    <w:p>
      <w:pPr>
        <w:spacing w:before="0" w:after="0" w:line="408" w:lineRule="exact"/>
        <w:ind w:left="0" w:right="0" w:firstLine="576"/>
        <w:jc w:val="left"/>
      </w:pPr>
      <w:r>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t xml:space="preserve">(f)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
      <w:pPr>
        <w:jc w:val="center"/>
      </w:pPr>
      <w:r>
        <w:rPr>
          <w:b/>
        </w:rPr>
        <w:t>--- END ---</w:t>
      </w:r>
    </w:p>
    <w:sectPr>
      <w:pgNumType w:start="1"/>
      <w:footerReference xmlns:r="http://schemas.openxmlformats.org/officeDocument/2006/relationships" r:id="R03084667adc74e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50dd2349b4b9d" /><Relationship Type="http://schemas.openxmlformats.org/officeDocument/2006/relationships/footer" Target="/word/footer1.xml" Id="R03084667adc74e31" /></Relationships>
</file>