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cd724198c446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2062</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13, 2019</w:t>
            </w:r>
          </w:p>
          <w:p>
            <w:pPr>
              <w:ind w:left="0" w:right="0" w:firstLine="360"/>
            </w:pPr>
            <w:r>
              <w:t xml:space="preserve">Yeas </w:t>
              <w:t xml:space="preserve">91</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2019</w:t>
            </w:r>
          </w:p>
          <w:p>
            <w:pPr>
              <w:ind w:left="0" w:right="0" w:firstLine="360"/>
            </w:pPr>
            <w:r>
              <w:t xml:space="preserve">Yeas </w:t>
              <w:t xml:space="preserve">43</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2062</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Slatter, Senn, Sells, Kilduff, Ryu, Peterson, Riccelli, Irwin, Walen, and Tarleton</w:t>
      </w:r>
    </w:p>
    <w:p/>
    <w:p>
      <w:r>
        <w:rPr>
          <w:t xml:space="preserve">Read first time 02/15/19.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Seattle Storm special license plates to fund youth leadership and sports programs; amending RCW 46.18.200, 46.17.220, and 46.68.420;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(21)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(22) </w:t>
            </w:r>
            <w:r>
              <w:rPr>
                <w:rFonts w:ascii="Times New Roman" w:hAnsi="Times New Roman"/>
                <w:sz w:val="16"/>
                <w:u w:val="single"/>
              </w:rPr>
              <w:t xml:space="preserve">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the Washington state legislative youth advisory council and the association of Washington generals created in RCW 43.15.030 in the following manner: Twenty-five thousand dollars per year of the net proceeds to the legislative youth advisory council, or its successor organization; and the remaining net proceeds on an annual basis, to the association of Washington generals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d5a40fc36dd545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f48d2a6784fde" /><Relationship Type="http://schemas.openxmlformats.org/officeDocument/2006/relationships/footer" Target="/word/footer1.xml" Id="Rd5a40fc36dd545a5" /></Relationships>
</file>