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1abe21da94d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1973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1973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1973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Paul, Pollet, Bergquist, Sells, and Riccelli)</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dual enrollment scholarship pilot program; amending RCW 28A.600.310; adding a new section to chapter 28B.76 RCW; and adding new sections to chapter 43.131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college in the high school and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p>
    <w:p>
      <w:pPr>
        <w:spacing w:before="0" w:after="0" w:line="408" w:lineRule="exact"/>
        <w:ind w:left="0" w:right="0" w:firstLine="576"/>
        <w:jc w:val="left"/>
      </w:pPr>
      <w:r>
        <w:rPr/>
        <w:t xml:space="preserve">(a) For eligible students enrolled in running start:</w:t>
      </w:r>
    </w:p>
    <w:p>
      <w:pPr>
        <w:spacing w:before="0" w:after="0" w:line="408" w:lineRule="exact"/>
        <w:ind w:left="0" w:right="0" w:firstLine="576"/>
        <w:jc w:val="left"/>
      </w:pPr>
      <w:r>
        <w:rPr/>
        <w:t xml:space="preserve">(i) Mandatory fees, as defined in RCW 28A.600.310(2), prorated based on credit load;</w:t>
      </w:r>
    </w:p>
    <w:p>
      <w:pPr>
        <w:spacing w:before="0" w:after="0" w:line="408" w:lineRule="exact"/>
        <w:ind w:left="0" w:right="0" w:firstLine="576"/>
        <w:jc w:val="left"/>
      </w:pPr>
      <w:r>
        <w:rPr/>
        <w:t xml:space="preserve">(ii) Course fees or laboratory fees as determined appropriate by college or university policies to pay for specified course related costs; and</w:t>
      </w:r>
    </w:p>
    <w:p>
      <w:pPr>
        <w:spacing w:before="0" w:after="0" w:line="408" w:lineRule="exact"/>
        <w:ind w:left="0" w:right="0" w:firstLine="576"/>
        <w:jc w:val="left"/>
      </w:pPr>
      <w:r>
        <w:rPr/>
        <w:t xml:space="preserve">(iii)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w:t>
      </w:r>
    </w:p>
    <w:p>
      <w:pPr>
        <w:spacing w:before="0" w:after="0" w:line="408" w:lineRule="exact"/>
        <w:ind w:left="0" w:right="0" w:firstLine="576"/>
        <w:jc w:val="left"/>
      </w:pPr>
      <w:r>
        <w:rPr/>
        <w:t xml:space="preserve">(b) An eligible student enrolled in a college in the high school program may receive a scholarship for tuition fees as set forth under RCW 28A.600.290(5)(a).</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and subsidies under RCW 28A.600.290 are provided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w:t>
      </w:r>
      <w:r>
        <w:t>((</w:t>
      </w:r>
      <w:r>
        <w:rPr>
          <w:strike/>
        </w:rPr>
        <w:t xml:space="preserve">Each institution must establish a written policy for the determination of low-income students before offering the fee waiver.</w:t>
      </w:r>
      <w:r>
        <w:t>))</w:t>
      </w:r>
      <w:r>
        <w:rPr/>
        <w:t xml:space="preserve">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w:t>
      </w:r>
      <w:r>
        <w:rPr>
          <w:u w:val="single"/>
        </w:rPr>
        <w:t xml:space="preserve">(i)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u w:val="single"/>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u w:val="single"/>
        </w:rPr>
        <w:t xml:space="preserve">(c)</w:t>
      </w:r>
      <w:r>
        <w:rPr/>
        <w:t xml:space="preserve">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Washington dual enrollment scholarship pilot program is terminated July 1, 2025,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Section 1 of this act.</w:t>
      </w:r>
    </w:p>
    <w:p/>
    <w:p>
      <w:pPr>
        <w:jc w:val="center"/>
      </w:pPr>
      <w:r>
        <w:rPr>
          <w:b/>
        </w:rPr>
        <w:t>--- END ---</w:t>
      </w:r>
    </w:p>
    <w:sectPr>
      <w:pgNumType w:start="1"/>
      <w:footerReference xmlns:r="http://schemas.openxmlformats.org/officeDocument/2006/relationships" r:id="R0464dcdf13074e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d83c904694da1" /><Relationship Type="http://schemas.openxmlformats.org/officeDocument/2006/relationships/footer" Target="/word/footer1.xml" Id="R0464dcdf13074e58" /></Relationships>
</file>