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9e1388908c4c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1923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2019</w:t>
            </w:r>
          </w:p>
          <w:p>
            <w:pPr>
              <w:ind w:left="0" w:right="0" w:firstLine="360"/>
            </w:pPr>
            <w:r>
              <w:t xml:space="preserve">Yeas </w:t>
              <w:t xml:space="preserve">75</w:t>
            </w:r>
            <w:r>
              <w:t xml:space="preserve">  Nays </w:t>
              <w:t xml:space="preserve">19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1923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1923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Fitzgibbon, Macri, Appleton, Doglio, Dolan, Santos, and Frame)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urban residential building capacity; amending RCW 36.70A.030, 43.21C.420, and 36.70A.490; adding new sections to chapter 36.70A RCW; adding new sections to chapter 43.21C RCW; adding a new section to chapter 35.21 RCW; adding a new section to chapter 35A.21 RCW; adding a new section to chapter 36.22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five hundred acres in cities with a population greater than forty thousand or not fewer than two hundred fifty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cluster zoning or lot size averaging in all zoning districts that permit single-family residences;</w:t>
      </w:r>
    </w:p>
    <w:p>
      <w:pPr>
        <w:spacing w:before="0" w:after="0" w:line="408" w:lineRule="exact"/>
        <w:ind w:left="0" w:right="0" w:firstLine="576"/>
        <w:jc w:val="left"/>
      </w:pPr>
      <w:r>
        <w:rPr/>
        <w:t xml:space="preserve">(e) Authorize attached accessory dwelling units on all parcels containing single-family homes where the lot is at least three thousand two hundred square feet in size, and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 and</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section 3 of this act.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2021,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2021, to amend their comprehensive plan, or adopt or amend ordinances or development regulations, solely to enact provisions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with a population over twenty thousand that is planning to take at least two actions under subsection (1) of this section, and that action will occur between the effective date of this section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is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that will seek grant assistance, to ensure that all cities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this act,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(11)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(12) "Minerals" include gravel, sand, and valuable metallic substances.</w:t>
      </w:r>
    </w:p>
    <w:p>
      <w:pPr>
        <w:spacing w:before="0" w:after="0" w:line="408" w:lineRule="exact"/>
        <w:ind w:left="0" w:right="0" w:firstLine="576"/>
        <w:jc w:val="left"/>
      </w:pPr>
      <w:r>
        <w:rPr/>
        <w:t xml:space="preserve">(13)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(14)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(15)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(16)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(17)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(18)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t xml:space="preserve">(20)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(21)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(22) "Urban growth areas" means those areas designated by a county pursuant to RCW 36.70A.110.</w:t>
      </w:r>
    </w:p>
    <w:p>
      <w:pPr>
        <w:spacing w:before="0" w:after="0" w:line="408" w:lineRule="exact"/>
        <w:ind w:left="0" w:right="0" w:firstLine="576"/>
        <w:jc w:val="left"/>
      </w:pPr>
      <w:r>
        <w:rPr/>
        <w:t xml:space="preserve">(23)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(24)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u w:val="single"/>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u w:val="single"/>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(25)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(27) "Permanent supportive housing" is subsidized, leased housing with no limit on length of stay, paired with on-site or off-site voluntary services designed to support a person living with a disability to be a successful tenant in a housing arrangement, improve the resident's health status, and connect residents of the housing with community-based health care, treatment, and employment services.</w:t>
      </w:r>
    </w:p>
    <w:p>
      <w:pPr>
        <w:spacing w:before="0" w:after="0" w:line="408" w:lineRule="exact"/>
        <w:ind w:left="0" w:right="0" w:firstLine="576"/>
        <w:jc w:val="left"/>
      </w:pPr>
      <w:r>
        <w:rPr>
          <w:u w:val="single"/>
        </w:rPr>
        <w:t xml:space="preserve">(28)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Washington center for real estate research at the University of Washington shall produce a report every two years that compiles housing supply and affordability metrics for each city planning under RCW 36.70A.040 with a population of ten thousand or more. The initial report, completed by October 15, 2020, must be a compilation of objective criteria relating to development regulations, zoning, income, housing and rental prices, housing affordability programs, and other metrics relevant to assessing housing supply and affordability for all income segments, including the percentage of cost-burdened households, of each city subject to the report required by this section. The report completed by October 15, 2022, must also include data relating to actions taken by cities under this act. The report completed by October 15, 2024, must also include relevant data relating to buildable lands reports prepared under RCW 36.70A.215, where applicable, and updates to comprehensive plans under this chapter. The Washington center for real estate research shall collaborate with the Washington housing finance commission and the office of financial management to develop the metrics compiled in the report. The report must be submitted, consistent with RCW 43.01.036, to the standing committees of the legislature with jurisdiction over housing issues and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If adopted by April 1, 2021, amendments to development regulations and other nonproject actions taken by a city to implement section 1 (1) or (4) of this act, with the exception of the action specified in section 1(1)(f)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transit stop that receives transit service at least four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action pertaining to residential, multifamily, or mixed use development evaluated under this chapter by a city or town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pPr>
        <w:spacing w:before="0" w:after="0" w:line="408" w:lineRule="exact"/>
        <w:ind w:left="0" w:right="0" w:firstLine="576"/>
        <w:jc w:val="left"/>
      </w:pPr>
      <w:r>
        <w:rPr/>
        <w:t xml:space="preserve">(a)(i) Consistent with a locally adopted transportation plan; or</w:t>
      </w:r>
    </w:p>
    <w:p>
      <w:pPr>
        <w:spacing w:before="0" w:after="0" w:line="408" w:lineRule="exact"/>
        <w:ind w:left="0" w:right="0" w:firstLine="576"/>
        <w:jc w:val="left"/>
      </w:pPr>
      <w:r>
        <w:rPr/>
        <w:t xml:space="preserve">(ii) Consistent with the transportation element of a comprehensive plan; and</w:t>
      </w:r>
    </w:p>
    <w:p>
      <w:pPr>
        <w:spacing w:before="0" w:after="0" w:line="408" w:lineRule="exact"/>
        <w:ind w:left="0" w:right="0" w:firstLine="576"/>
        <w:jc w:val="left"/>
      </w:pPr>
      <w:r>
        <w:rPr/>
        <w:t xml:space="preserve">(b)(i) A project for which traffic or parking impact fees are imposed pursuant to RCW 82.02.050 through 82.02.090; or</w:t>
      </w:r>
    </w:p>
    <w:p>
      <w:pPr>
        <w:spacing w:before="0" w:after="0" w:line="408" w:lineRule="exact"/>
        <w:ind w:left="0" w:right="0" w:firstLine="576"/>
        <w:jc w:val="left"/>
      </w:pPr>
      <w:r>
        <w:rPr/>
        <w:t xml:space="preserve">(ii) A project for which traffic or parking impacts are expressly mitigated by an ordinance, or ordinances, of general application adopted by the city or town.</w:t>
      </w:r>
    </w:p>
    <w:p>
      <w:pPr>
        <w:spacing w:before="0" w:after="0" w:line="408" w:lineRule="exact"/>
        <w:ind w:left="0" w:right="0" w:firstLine="576"/>
        <w:jc w:val="left"/>
      </w:pPr>
      <w:r>
        <w:rPr/>
        <w:t xml:space="preserve">(2) For purposes of this section, "impacts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w:t>
      </w:r>
      <w:r>
        <w:t>((</w:t>
      </w:r>
      <w:r>
        <w:rPr>
          <w:strike/>
        </w:rPr>
        <w:t xml:space="preserve">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strike/>
        </w:rPr>
        <w:t xml:space="preserve">(d)</w:t>
      </w:r>
      <w:r>
        <w:t>))</w:t>
      </w:r>
      <w:r>
        <w:rPr/>
        <w:t xml:space="preserve">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t>((</w:t>
      </w:r>
      <w:r>
        <w:rPr>
          <w:strike/>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strike/>
        </w:rPr>
        <w:t xml:space="preserve">(g)</w:t>
      </w:r>
      <w:r>
        <w:t>))</w:t>
      </w:r>
      <w:r>
        <w:rPr/>
        <w:t xml:space="preserve"> </w:t>
      </w:r>
      <w:r>
        <w:rPr>
          <w:u w:val="single"/>
        </w:rPr>
        <w:t xml:space="preserve">(e)</w:t>
      </w:r>
      <w:r>
        <w:rPr/>
        <w:t xml:space="preserve"> As an incentive for development authorized under this section, a city shall consider establishing a transfer of development rights program in consultation with the county where the city is located, that conserves county-designated agricultural and forestland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w:t>
      </w:r>
      <w:r>
        <w:t>((</w:t>
      </w:r>
      <w:r>
        <w:rPr>
          <w:strike/>
        </w:rPr>
        <w:t xml:space="preserve">(g)</w:t>
      </w:r>
      <w:r>
        <w:t>))</w:t>
      </w:r>
      <w:r>
        <w:rPr/>
        <w:t xml:space="preserve"> </w:t>
      </w:r>
      <w:r>
        <w:rPr>
          <w:u w:val="single"/>
        </w:rPr>
        <w:t xml:space="preserve">(e)</w:t>
      </w:r>
      <w:r>
        <w:rPr/>
        <w:t xml:space="preserve">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2029</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w:t>
      </w:r>
    </w:p>
    <w:p>
      <w:pPr>
        <w:spacing w:before="0" w:after="0" w:line="408" w:lineRule="exact"/>
        <w:ind w:left="0" w:right="0" w:firstLine="576"/>
        <w:jc w:val="left"/>
      </w:pPr>
      <w:r>
        <w:rPr>
          <w:u w:val="single"/>
        </w:rPr>
        <w:t xml:space="preserve">(i) Nineteen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the timelines established in (a) of this subsection, so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ten percent of the dwelling units, or a greater percentage as determined by city development regulations, within the development for low-income households at a sale price or rental amount that is considered affordable by a city's housing programs. This subsection (5)(b)(ii) applies only to projects that are consistent with an optional element adopted by a city pursuant to this section after the effective date of this section;</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2029</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2029</w:t>
      </w:r>
      <w:r>
        <w:rPr/>
        <w:t xml:space="preserve">. After July 1, </w:t>
      </w:r>
      <w:r>
        <w:t>((</w:t>
      </w:r>
      <w:r>
        <w:rPr>
          <w:strike/>
        </w:rPr>
        <w:t xml:space="preserve">2018</w:t>
      </w:r>
      <w:r>
        <w:t>))</w:t>
      </w:r>
      <w:r>
        <w:rPr/>
        <w:t xml:space="preserve"> </w:t>
      </w:r>
      <w:r>
        <w:rPr>
          <w:u w:val="single"/>
        </w:rPr>
        <w:t xml:space="preserve">2029</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w:t>
      </w:r>
      <w:r>
        <w:t>((</w:t>
      </w:r>
      <w:r>
        <w:rPr>
          <w:strike/>
        </w:rPr>
        <w:t xml:space="preserve">or</w:t>
      </w:r>
      <w:r>
        <w:t>))</w:t>
      </w:r>
      <w:r>
        <w:rPr/>
        <w:t xml:space="preserve"> 36.70A.500</w:t>
      </w:r>
      <w:r>
        <w:rPr>
          <w:u w:val="single"/>
        </w:rPr>
        <w:t xml:space="preserve">, section 1 of this act, for costs associated with section 3 of this act,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may not prohibit permanent supportive housing in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 A code city may not prohibit permanent supportive housing in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surcharge of two dollars and fifty cents shall be charged by the county auditor for each document recorded, which will be in addition to any other charge or surcharge allowed by law. The auditor shall remit the funds to the state treasurer to be deposited and used as follows:</w:t>
      </w:r>
    </w:p>
    <w:p>
      <w:pPr>
        <w:spacing w:before="0" w:after="0" w:line="408" w:lineRule="exact"/>
        <w:ind w:left="0" w:right="0" w:firstLine="576"/>
        <w:jc w:val="left"/>
      </w:pPr>
      <w:r>
        <w:rPr/>
        <w:t xml:space="preserve">(a) Through June 30, 2024, funds must be deposited into the growth management planning and environmental review fund created in RCW 36.70A.490 to be used first for grants for costs associated with section 1 of this act and for costs associated with section 3 of this act, and thereafter for any allowable use of the fund.</w:t>
      </w:r>
    </w:p>
    <w:p>
      <w:pPr>
        <w:spacing w:before="0" w:after="0" w:line="408" w:lineRule="exact"/>
        <w:ind w:left="0" w:right="0" w:firstLine="576"/>
        <w:jc w:val="left"/>
      </w:pPr>
      <w:r>
        <w:rPr/>
        <w:t xml:space="preserve">(b) Beginning July 1, 2024, sufficient funds must be deposited into the growth management planning and environmental review fund created in RCW 36.70A.490 for costs associated with section 3 of this act, and the remainder deposited into the home security fund account created in RCW 43.185C.060 to be used for maintenance and operation costs of: (i) Permanent supportive housing and (ii) affordable housing for very low-income and extremely low-income households. Funds may only be expended in cities that have taken action under section 1 of this act.</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or city lien or satisfaction of lien.</w:t>
      </w:r>
    </w:p>
    <w:p>
      <w:pPr>
        <w:spacing w:before="0" w:after="0" w:line="408" w:lineRule="exact"/>
        <w:ind w:left="0" w:right="0" w:firstLine="576"/>
        <w:jc w:val="left"/>
      </w:pPr>
      <w:r>
        <w:rPr/>
        <w:t xml:space="preserve">(3) For purposes of this section, the terms "permanent supportive housing," "affordable housing," "very low-income households," and "extremely low-income households" have the same meaning as provided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898f5255549844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1923.PL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f47bde540f4a40" /><Relationship Type="http://schemas.openxmlformats.org/officeDocument/2006/relationships/footer" Target="/word/footer1.xml" Id="R898f52555498442d" /></Relationships>
</file>