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16eba5ea2e483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1520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27,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1520</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Morgan, Hudgins, Rude, Mead, Stonier, Frame, Riccelli, Appleton, Pellicciotti, Kilduff, Doglio, and Reeves)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calendar election dates on ballot envelopes; and amending RCW 29A.40.091.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w:t>
      </w:r>
      <w:r>
        <w:rPr>
          <w:u w:val="single"/>
        </w:rPr>
        <w:t xml:space="preserve">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u w:val="single"/>
        </w:rPr>
        <w:t xml:space="preserve">(a) For all general elections in 2020 and after;</w:t>
      </w:r>
    </w:p>
    <w:p>
      <w:pPr>
        <w:spacing w:before="0" w:after="0" w:line="408" w:lineRule="exact"/>
        <w:ind w:left="0" w:right="0" w:firstLine="576"/>
        <w:jc w:val="left"/>
      </w:pPr>
      <w:r>
        <w:rPr>
          <w:u w:val="single"/>
        </w:rPr>
        <w:t xml:space="preserve">(b) For all primary elections in 2021 and after; and</w:t>
      </w:r>
    </w:p>
    <w:p>
      <w:pPr>
        <w:spacing w:before="0" w:after="0" w:line="408" w:lineRule="exact"/>
        <w:ind w:left="0" w:right="0" w:firstLine="576"/>
        <w:jc w:val="left"/>
      </w:pPr>
      <w:r>
        <w:rPr>
          <w:u w:val="single"/>
        </w:rPr>
        <w:t xml:space="preserve">(c) For all elections in 2022 and after.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
      <w:pPr>
        <w:jc w:val="center"/>
      </w:pPr>
      <w:r>
        <w:rPr>
          <w:b/>
        </w:rPr>
        <w:t>--- END ---</w:t>
      </w:r>
    </w:p>
    <w:sectPr>
      <w:pgNumType w:start="1"/>
      <w:footerReference xmlns:r="http://schemas.openxmlformats.org/officeDocument/2006/relationships" r:id="Re32a21b6fec342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960862ae746c2" /><Relationship Type="http://schemas.openxmlformats.org/officeDocument/2006/relationships/footer" Target="/word/footer1.xml" Id="Re32a21b6fec3425f" /></Relationships>
</file>