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bcb20edcd45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1403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1403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1403</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Finance (originally sponsored by Representatives Frame, Orcutt, and Stokesbary)</w:t>
      </w:r>
    </w:p>
    <w:p/>
    <w:p>
      <w:r>
        <w:rPr>
          <w:t xml:space="preserve">READ FIRST TIME 02/12/19.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administration of municipal business and occupation tax apportionment; amending RCW 35.102.130;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102</w:t>
      </w:r>
      <w:r>
        <w:rPr/>
        <w:t xml:space="preserve">.</w:t>
      </w:r>
      <w:r>
        <w:t xml:space="preserve">130</w:t>
      </w:r>
      <w:r>
        <w:rPr/>
        <w:t xml:space="preserve"> and 2017 c 323 s 511 are each amended to read as follows:</w:t>
      </w:r>
    </w:p>
    <w:p>
      <w:pPr>
        <w:spacing w:before="0" w:after="0" w:line="408" w:lineRule="exact"/>
        <w:ind w:left="0" w:right="0" w:firstLine="576"/>
        <w:jc w:val="left"/>
      </w:pPr>
      <w:r>
        <w:rPr/>
        <w:t xml:space="preserve">A city that imposes a business and occupation tax must provide for the allocation and apportionment of a person's gross income, other than persons subject to the provisions of chapter 82.14A RCW, as follows:</w:t>
      </w:r>
    </w:p>
    <w:p>
      <w:pPr>
        <w:spacing w:before="0" w:after="0" w:line="408" w:lineRule="exact"/>
        <w:ind w:left="0" w:right="0" w:firstLine="576"/>
        <w:jc w:val="left"/>
      </w:pPr>
      <w:r>
        <w:rPr/>
        <w:t xml:space="preserve">(1) Gross income derived from all activities other than those taxed as service or royalties must be allocated to the location where the activity takes place.</w:t>
      </w:r>
    </w:p>
    <w:p>
      <w:pPr>
        <w:spacing w:before="0" w:after="0" w:line="408" w:lineRule="exact"/>
        <w:ind w:left="0" w:right="0" w:firstLine="576"/>
        <w:jc w:val="left"/>
      </w:pPr>
      <w:r>
        <w:rPr/>
        <w:t xml:space="preserve">(a) In the case of sales of tangible personal property, the activity takes place where delivery to the buyer occurs.</w:t>
      </w:r>
    </w:p>
    <w:p>
      <w:pPr>
        <w:spacing w:before="0" w:after="0" w:line="408" w:lineRule="exact"/>
        <w:ind w:left="0" w:right="0" w:firstLine="576"/>
        <w:jc w:val="left"/>
      </w:pPr>
      <w:r>
        <w:rPr/>
        <w:t xml:space="preserve">(b)(i) In the case of sales of digital products, the activity takes place where delivery to the buyer occurs. The delivery of digital products will be deemed to occur at:</w:t>
      </w:r>
    </w:p>
    <w:p>
      <w:pPr>
        <w:spacing w:before="0" w:after="0" w:line="408" w:lineRule="exact"/>
        <w:ind w:left="0" w:right="0" w:firstLine="576"/>
        <w:jc w:val="left"/>
      </w:pPr>
      <w:r>
        <w:rPr/>
        <w:t xml:space="preserve">(A) The seller's place of business if the purchaser receives the digital product at the seller's place of business;</w:t>
      </w:r>
    </w:p>
    <w:p>
      <w:pPr>
        <w:spacing w:before="0" w:after="0" w:line="408" w:lineRule="exact"/>
        <w:ind w:left="0" w:right="0" w:firstLine="576"/>
        <w:jc w:val="left"/>
      </w:pPr>
      <w:r>
        <w:rPr/>
        <w:t xml:space="preserve">(B) If not received at the seller's place of business, the location where the purchaser or the purchaser's donee, designated as such by the purchaser, receives the digital product, including the location indicated by instructions for delivery to the purchaser or donee, known to the seller;</w:t>
      </w:r>
    </w:p>
    <w:p>
      <w:pPr>
        <w:spacing w:before="0" w:after="0" w:line="408" w:lineRule="exact"/>
        <w:ind w:left="0" w:right="0" w:firstLine="576"/>
        <w:jc w:val="left"/>
      </w:pPr>
      <w:r>
        <w:rPr/>
        <w:t xml:space="preserve">(C) If the location where the purchaser or the purchaser's donee receives the digital product is not known, the purchaser's address maintained in the ordinary course of the seller's business when use of this address does not constitute bad faith;</w:t>
      </w:r>
    </w:p>
    <w:p>
      <w:pPr>
        <w:spacing w:before="0" w:after="0" w:line="408" w:lineRule="exact"/>
        <w:ind w:left="0" w:right="0" w:firstLine="576"/>
        <w:jc w:val="left"/>
      </w:pPr>
      <w:r>
        <w:rPr/>
        <w:t xml:space="preserve">(D) If no address for the purchaser is maintained in the ordinary course of the seller's business, the purchaser's address obtained during the consummation of the sale, including the address of a purchaser's payment instrument, if no other address is available, when use of this address does not constitute bad faith; and</w:t>
      </w:r>
    </w:p>
    <w:p>
      <w:pPr>
        <w:spacing w:before="0" w:after="0" w:line="408" w:lineRule="exact"/>
        <w:ind w:left="0" w:right="0" w:firstLine="576"/>
        <w:jc w:val="left"/>
      </w:pPr>
      <w:r>
        <w:rPr/>
        <w:t xml:space="preserve">(E) If no address for the purchaser is obtained during the consummation of the sale, the address where the digital good or digital code is first made available for transmission by the seller or the address from which the digital automated service or service described in RCW 82.04.050 (2)(g) or (6)(c) was provided, disregarding for these purposes any location that merely provided the digital transfer of the product sold.</w:t>
      </w:r>
    </w:p>
    <w:p>
      <w:pPr>
        <w:spacing w:before="0" w:after="0" w:line="408" w:lineRule="exact"/>
        <w:ind w:left="0" w:right="0" w:firstLine="576"/>
        <w:jc w:val="left"/>
      </w:pPr>
      <w:r>
        <w:rPr/>
        <w:t xml:space="preserve">(ii) If none of the methods in (b)(i) of this subsection (1) for determining where the delivery of digital products occurs are available after a good faith effort by the taxpayer to apply the methods provided in (b)(i)(A) through (E) of this subsection (1), then the city and the taxpayer may mutually agree to employ any other method to effectuate an equitable allocation of income from the sale of digital products. The taxpayer will be responsible for petitioning the city to use an alternative method under this subsection (1)(b)(ii). The city may employ an alternative method for allocating the income from the sale of digital products if the methods provided in (b)(i)(A) through (E) of this subsection (1) are not available and the taxpayer and the city are unable to mutually agree on an alternative method to effectuate an equitable allocation of income from the sale of digital products.</w:t>
      </w:r>
    </w:p>
    <w:p>
      <w:pPr>
        <w:spacing w:before="0" w:after="0" w:line="408" w:lineRule="exact"/>
        <w:ind w:left="0" w:right="0" w:firstLine="576"/>
        <w:jc w:val="left"/>
      </w:pPr>
      <w:r>
        <w:rPr/>
        <w:t xml:space="preserve">(iii) For purposes of this subsection (1)(b), the following definitions apply:</w:t>
      </w:r>
    </w:p>
    <w:p>
      <w:pPr>
        <w:spacing w:before="0" w:after="0" w:line="408" w:lineRule="exact"/>
        <w:ind w:left="0" w:right="0" w:firstLine="576"/>
        <w:jc w:val="left"/>
      </w:pPr>
      <w:r>
        <w:rPr/>
        <w:t xml:space="preserve">(A) "Digital automated services," "digital codes," and "digital goods" have the same meaning as in RCW 82.04.192;</w:t>
      </w:r>
    </w:p>
    <w:p>
      <w:pPr>
        <w:spacing w:before="0" w:after="0" w:line="408" w:lineRule="exact"/>
        <w:ind w:left="0" w:right="0" w:firstLine="576"/>
        <w:jc w:val="left"/>
      </w:pPr>
      <w:r>
        <w:rPr/>
        <w:t xml:space="preserve">(B) "Digital products" means digital goods, digital codes, digital automated services, and the services described in RCW 82.04.050 (2)(g) and (6)(c); and</w:t>
      </w:r>
    </w:p>
    <w:p>
      <w:pPr>
        <w:spacing w:before="0" w:after="0" w:line="408" w:lineRule="exact"/>
        <w:ind w:left="0" w:right="0" w:firstLine="576"/>
        <w:jc w:val="left"/>
      </w:pPr>
      <w:r>
        <w:rPr/>
        <w:t xml:space="preserve">(C) "Receive" has the same meaning as in RCW 82.32.730.</w:t>
      </w:r>
    </w:p>
    <w:p>
      <w:pPr>
        <w:spacing w:before="0" w:after="0" w:line="408" w:lineRule="exact"/>
        <w:ind w:left="0" w:right="0" w:firstLine="576"/>
        <w:jc w:val="left"/>
      </w:pPr>
      <w:r>
        <w:rPr/>
        <w:t xml:space="preserve">(c) If a business activity allocated under this subsection (1) takes place in more than one city and all cities impose a gross receipts tax, a credit must be allowed as provided in RCW 35.102.060; if not all of the cities impose a gross receipts tax, the affected cities must allow another credit or allocation system as they and the taxpayer agree.</w:t>
      </w:r>
    </w:p>
    <w:p>
      <w:pPr>
        <w:spacing w:before="0" w:after="0" w:line="408" w:lineRule="exact"/>
        <w:ind w:left="0" w:right="0" w:firstLine="576"/>
        <w:jc w:val="left"/>
      </w:pPr>
      <w:r>
        <w:rPr/>
        <w:t xml:space="preserve">(2) Gross income derived as royalties from the granting of intangible rights must be allocated to the commercial domicile of the taxpayer.</w:t>
      </w:r>
    </w:p>
    <w:p>
      <w:pPr>
        <w:spacing w:before="0" w:after="0" w:line="408" w:lineRule="exact"/>
        <w:ind w:left="0" w:right="0" w:firstLine="576"/>
        <w:jc w:val="left"/>
      </w:pPr>
      <w:r>
        <w:rPr/>
        <w:t xml:space="preserve">(3) Gross income derived from activities taxed as services shall be apportioned to a city by multiplying apportionable income by a fraction, the numerator of which is the payroll factor plus the service-income factor and the denominator of which is two.</w:t>
      </w:r>
    </w:p>
    <w:p>
      <w:pPr>
        <w:spacing w:before="0" w:after="0" w:line="408" w:lineRule="exact"/>
        <w:ind w:left="0" w:right="0" w:firstLine="576"/>
        <w:jc w:val="left"/>
      </w:pPr>
      <w:r>
        <w:rPr/>
        <w:t xml:space="preserve">(a) The payroll factor is a fraction, the numerator of which is the total amount paid in the city during the tax period by the taxpayer for compensation and the denominator of which is the total compensation paid everywhere during the tax period. Compensation is paid in the city if:</w:t>
      </w:r>
    </w:p>
    <w:p>
      <w:pPr>
        <w:spacing w:before="0" w:after="0" w:line="408" w:lineRule="exact"/>
        <w:ind w:left="0" w:right="0" w:firstLine="576"/>
        <w:jc w:val="left"/>
      </w:pPr>
      <w:r>
        <w:rPr/>
        <w:t xml:space="preserve">(i) The individual is primarily assigned within the city;</w:t>
      </w:r>
    </w:p>
    <w:p>
      <w:pPr>
        <w:spacing w:before="0" w:after="0" w:line="408" w:lineRule="exact"/>
        <w:ind w:left="0" w:right="0" w:firstLine="576"/>
        <w:jc w:val="left"/>
      </w:pPr>
      <w:r>
        <w:rPr/>
        <w:t xml:space="preserve">(ii) The individual is not primarily assigned to any place of business for the tax period and the employee performs fifty percent or more of his or her service for the tax period in the city; or</w:t>
      </w:r>
    </w:p>
    <w:p>
      <w:pPr>
        <w:spacing w:before="0" w:after="0" w:line="408" w:lineRule="exact"/>
        <w:ind w:left="0" w:right="0" w:firstLine="576"/>
        <w:jc w:val="left"/>
      </w:pPr>
      <w:r>
        <w:rPr/>
        <w:t xml:space="preserve">(iii) The individual is not primarily assigned to any place of business for the tax period, the individual does not perform fifty percent or more of his or her service in any city, and the employee resides in the city.</w:t>
      </w:r>
    </w:p>
    <w:p>
      <w:pPr>
        <w:spacing w:before="0" w:after="0" w:line="408" w:lineRule="exact"/>
        <w:ind w:left="0" w:right="0" w:firstLine="576"/>
        <w:jc w:val="left"/>
      </w:pPr>
      <w:r>
        <w:rPr/>
        <w:t xml:space="preserve">(b) The service income factor is a fraction, the numerator of which is the total service income of the taxpayer in the city during the tax period, and the denominator of which is the total service income of the taxpayer everywhere during the tax period. Service income is in the city if</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t</w:t>
      </w:r>
      <w:r>
        <w:rPr/>
        <w:t xml:space="preserve">he customer location is in the city</w:t>
      </w:r>
      <w:r>
        <w:t>((</w:t>
      </w:r>
      <w:r>
        <w:rPr>
          <w:strike/>
        </w:rPr>
        <w:t xml:space="preserve">; or</w:t>
      </w:r>
    </w:p>
    <w:p>
      <w:pPr>
        <w:spacing w:before="0" w:after="0" w:line="408" w:lineRule="exact"/>
        <w:ind w:left="0" w:right="0" w:firstLine="576"/>
        <w:jc w:val="left"/>
      </w:pPr>
      <w:r>
        <w:rPr>
          <w:strike/>
        </w:rPr>
        <w:t xml:space="preserve">(ii) The income-producing activity is performed in more than one location and a greater proportion of the service-income-producing activity is performed in the city than in any other location, based on costs of performance, and the taxpayer is not taxable at the customer location; or</w:t>
      </w:r>
    </w:p>
    <w:p>
      <w:pPr>
        <w:spacing w:before="0" w:after="0" w:line="408" w:lineRule="exact"/>
        <w:ind w:left="0" w:right="0" w:firstLine="576"/>
        <w:jc w:val="left"/>
      </w:pPr>
      <w:r>
        <w:rPr>
          <w:strike/>
        </w:rPr>
        <w:t xml:space="preserve">(iii) The service-income-producing activity is performed within the city, and the taxpayer is not taxable in the customer location</w:t>
      </w:r>
      <w:r>
        <w:t>))</w:t>
      </w:r>
      <w:r>
        <w:rPr/>
        <w:t xml:space="preserve">.</w:t>
      </w:r>
    </w:p>
    <w:p>
      <w:pPr>
        <w:spacing w:before="0" w:after="0" w:line="408" w:lineRule="exact"/>
        <w:ind w:left="0" w:right="0" w:firstLine="576"/>
        <w:jc w:val="left"/>
      </w:pPr>
      <w:r>
        <w:rPr/>
        <w:t xml:space="preserve">(c) </w:t>
      </w:r>
      <w:r>
        <w:rPr>
          <w:u w:val="single"/>
        </w:rPr>
        <w:t xml:space="preserve">Gross income of the business from engaging in an apportionable activity must be excluded from the denominator of the service income factor if, in respect to such activity, at least some of the activity is performed in the city, and the gross income is attributable under (b) of this subsection (3) to a city or unincorporated area of a county within the United States or to a foreign country in which the taxpayer is not taxable. For purposes of this subsection (3)(c), "not taxable" means that the taxpayer is not subject to a business activities tax by that city or county within the United States or by that foreign country, except that a taxpayer is taxable in a city or county within the United States or in a foreign country in which it would be deemed to have a substantial nexus with the city or county within the United States or with the foreign country under the standards in RCW 35.102.050 regardless of whether that city or county within the United States or that foreign country imposes such a tax.</w:t>
      </w:r>
    </w:p>
    <w:p>
      <w:pPr>
        <w:spacing w:before="0" w:after="0" w:line="408" w:lineRule="exact"/>
        <w:ind w:left="0" w:right="0" w:firstLine="576"/>
        <w:jc w:val="left"/>
      </w:pPr>
      <w:r>
        <w:rPr>
          <w:u w:val="single"/>
        </w:rPr>
        <w:t xml:space="preserve">(d)</w:t>
      </w:r>
      <w:r>
        <w:rPr/>
        <w:t xml:space="preserve"> If the allocation and apportionment provisions of this subsection </w:t>
      </w:r>
      <w:r>
        <w:rPr>
          <w:u w:val="single"/>
        </w:rPr>
        <w:t xml:space="preserve">(3)</w:t>
      </w:r>
      <w:r>
        <w:rPr/>
        <w:t xml:space="preserve"> do not fairly represent the extent of the taxpayer's business activity in the city </w:t>
      </w:r>
      <w:r>
        <w:t>((</w:t>
      </w:r>
      <w:r>
        <w:rPr>
          <w:strike/>
        </w:rPr>
        <w:t xml:space="preserve">or cities in which the taxpayer does business</w:t>
      </w:r>
      <w:r>
        <w:t>))</w:t>
      </w:r>
      <w:r>
        <w:rPr/>
        <w:t xml:space="preserve">, the taxpayer may petition for or the tax </w:t>
      </w:r>
      <w:r>
        <w:t>((</w:t>
      </w:r>
      <w:r>
        <w:rPr>
          <w:strike/>
        </w:rPr>
        <w:t xml:space="preserve">administrators may jointly require, in respect to all or any part of the taxpayer's business activity, that one of the following methods be used jointly by the cities to allocate or apportion gross income</w:t>
      </w:r>
      <w:r>
        <w:t>))</w:t>
      </w:r>
      <w:r>
        <w:rPr/>
        <w:t xml:space="preserve"> </w:t>
      </w:r>
      <w:r>
        <w:rPr>
          <w:u w:val="single"/>
        </w:rPr>
        <w:t xml:space="preserve">administrator may require, in respect to all or any part of the taxpayer's business activity</w:t>
      </w:r>
      <w:r>
        <w:rPr/>
        <w:t xml:space="preserve">, if reasonable:</w:t>
      </w:r>
    </w:p>
    <w:p>
      <w:pPr>
        <w:spacing w:before="0" w:after="0" w:line="408" w:lineRule="exact"/>
        <w:ind w:left="0" w:right="0" w:firstLine="576"/>
        <w:jc w:val="left"/>
      </w:pPr>
      <w:r>
        <w:rPr/>
        <w:t xml:space="preserve">(i) Separate accounting;</w:t>
      </w:r>
    </w:p>
    <w:p>
      <w:pPr>
        <w:spacing w:before="0" w:after="0" w:line="408" w:lineRule="exact"/>
        <w:ind w:left="0" w:right="0" w:firstLine="576"/>
        <w:jc w:val="left"/>
      </w:pPr>
      <w:r>
        <w:rPr/>
        <w:t xml:space="preserve">(ii) The </w:t>
      </w:r>
      <w:r>
        <w:t>((</w:t>
      </w:r>
      <w:r>
        <w:rPr>
          <w:strike/>
        </w:rPr>
        <w:t xml:space="preserve">use of a single factor</w:t>
      </w:r>
      <w:r>
        <w:t>))</w:t>
      </w:r>
      <w:r>
        <w:rPr/>
        <w:t xml:space="preserve"> </w:t>
      </w:r>
      <w:r>
        <w:rPr>
          <w:u w:val="single"/>
        </w:rPr>
        <w:t xml:space="preserve">exclusion of any one or more of the factors</w:t>
      </w:r>
      <w:r>
        <w:rPr/>
        <w:t xml:space="preserve">;</w:t>
      </w:r>
    </w:p>
    <w:p>
      <w:pPr>
        <w:spacing w:before="0" w:after="0" w:line="408" w:lineRule="exact"/>
        <w:ind w:left="0" w:right="0" w:firstLine="576"/>
        <w:jc w:val="left"/>
      </w:pPr>
      <w:r>
        <w:rPr/>
        <w:t xml:space="preserve">(iii) The inclusion of one or more additional factors that will fairly represent the taxpayer's business activity in the city; or</w:t>
      </w:r>
    </w:p>
    <w:p>
      <w:pPr>
        <w:spacing w:before="0" w:after="0" w:line="408" w:lineRule="exact"/>
        <w:ind w:left="0" w:right="0" w:firstLine="576"/>
        <w:jc w:val="left"/>
      </w:pPr>
      <w:r>
        <w:rPr/>
        <w:t xml:space="preserve">(iv) The employment of any other method to effectuate an equitable allocation and apportionment of the taxpayer's income.</w:t>
      </w:r>
    </w:p>
    <w:p>
      <w:pPr>
        <w:spacing w:before="0" w:after="0" w:line="408" w:lineRule="exact"/>
        <w:ind w:left="0" w:right="0" w:firstLine="576"/>
        <w:jc w:val="left"/>
      </w:pPr>
      <w:r>
        <w:rPr>
          <w:u w:val="single"/>
        </w:rPr>
        <w:t xml:space="preserve">(e) The party petitioning for, or the tax administrator requiring, the use of any method to effectuate an equitable allocation and apportionment of the taxpayer's income pursuant to subsection (d) of this subsection (3) must prove by a preponderance of the evidence:</w:t>
      </w:r>
    </w:p>
    <w:p>
      <w:pPr>
        <w:spacing w:before="0" w:after="0" w:line="408" w:lineRule="exact"/>
        <w:ind w:left="0" w:right="0" w:firstLine="576"/>
        <w:jc w:val="left"/>
      </w:pPr>
      <w:r>
        <w:rPr>
          <w:u w:val="single"/>
        </w:rPr>
        <w:t xml:space="preserve">(i) That the allocation and apportionment provisions of this subsection (3) do not fairly represent the extent of the taxpayer's business activity in the city; and</w:t>
      </w:r>
    </w:p>
    <w:p>
      <w:pPr>
        <w:spacing w:before="0" w:after="0" w:line="408" w:lineRule="exact"/>
        <w:ind w:left="0" w:right="0" w:firstLine="576"/>
        <w:jc w:val="left"/>
      </w:pPr>
      <w:r>
        <w:rPr>
          <w:u w:val="single"/>
        </w:rPr>
        <w:t xml:space="preserve">(ii) That the alternative to such provisions is reasonable.</w:t>
      </w:r>
    </w:p>
    <w:p>
      <w:pPr>
        <w:spacing w:before="0" w:after="0" w:line="408" w:lineRule="exact"/>
        <w:ind w:left="0" w:right="0" w:firstLine="576"/>
        <w:jc w:val="left"/>
      </w:pPr>
      <w:r>
        <w:rPr>
          <w:u w:val="single"/>
        </w:rPr>
        <w:t xml:space="preserve">The same burden of proof shall apply whether the taxpayer is petitioning for, or the tax administrator is requiring, the use of an alternative, reasonable method to effectuate an equitable allocation and apportionment of the taxpayer's income.</w:t>
      </w:r>
    </w:p>
    <w:p>
      <w:pPr>
        <w:spacing w:before="0" w:after="0" w:line="408" w:lineRule="exact"/>
        <w:ind w:left="0" w:right="0" w:firstLine="576"/>
        <w:jc w:val="left"/>
      </w:pPr>
      <w:r>
        <w:rPr>
          <w:u w:val="single"/>
        </w:rPr>
        <w:t xml:space="preserve">(f) If the tax administrator requires any method to effectuate an equitable allocation and apportionment of the taxpayer's income, the tax administrator cannot impose any civil or criminal penalty with reference to the tax due that is attributable to the taxpayer's reasonable reliance solely on the allocation and apportionment provisions of this subsection (3).</w:t>
      </w:r>
    </w:p>
    <w:p>
      <w:pPr>
        <w:spacing w:before="0" w:after="0" w:line="408" w:lineRule="exact"/>
        <w:ind w:left="0" w:right="0" w:firstLine="576"/>
        <w:jc w:val="left"/>
      </w:pPr>
      <w:r>
        <w:rPr>
          <w:u w:val="single"/>
        </w:rPr>
        <w:t xml:space="preserve">(g) A taxpayer that has received written permission from the tax administrator to use a reasonable method to effectuate an equitable allocation and apportionment of the taxpayer's income shall not have that permission revoked with respect to transactions and activities that have already occurred unless there has been a material change in, or a material misrepresentation of, the facts provided by the taxpayer upon which the tax administrator reasonably relied in approving a reasonable alternative method.</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"Apportionable income" means the gross income of the business taxable under the service classifications of a city's gross receipts tax, including income received from activities outside the city if the income would be taxable under the service classification if received from activities within the city, less any exemptions or deductions available.</w:t>
      </w:r>
    </w:p>
    <w:p>
      <w:pPr>
        <w:spacing w:before="0" w:after="0" w:line="408" w:lineRule="exact"/>
        <w:ind w:left="0" w:right="0" w:firstLine="576"/>
        <w:jc w:val="left"/>
      </w:pPr>
      <w:r>
        <w:rPr/>
        <w:t xml:space="preserve">(b) </w:t>
      </w:r>
      <w:r>
        <w:rPr>
          <w:u w:val="single"/>
        </w:rPr>
        <w:t xml:space="preserve">"Business activities tax" means a tax measured by the amount of, or economic results of, business activity conducted in a city or county within the United States or within a foreign country. The term includes taxes measured in whole or in part on net income or gross income or receipts. "Business activities tax" does not include a sales tax, use tax, or a similar transaction tax, imposed on the sale or acquisition of goods or services, whether or not denominated a gross receipts tax or a tax imposed on the privilege of doing business.</w:t>
      </w:r>
    </w:p>
    <w:p>
      <w:pPr>
        <w:spacing w:before="0" w:after="0" w:line="408" w:lineRule="exact"/>
        <w:ind w:left="0" w:right="0" w:firstLine="576"/>
        <w:jc w:val="left"/>
      </w:pPr>
      <w:r>
        <w:rPr>
          <w:u w:val="single"/>
        </w:rPr>
        <w:t xml:space="preserve">(c)</w:t>
      </w:r>
      <w:r>
        <w:rPr/>
        <w:t xml:space="preserve"> "Compensation" means wages, salaries, commissions, and any other form of remuneration paid to individuals for personal services that are or would be included in the individual's gross income under the federal internal revenue code.</w:t>
      </w:r>
    </w:p>
    <w:p>
      <w:pPr>
        <w:spacing w:before="0" w:after="0" w:line="408" w:lineRule="exact"/>
        <w:ind w:left="0" w:right="0" w:firstLine="576"/>
        <w:jc w:val="left"/>
      </w:pPr>
      <w:r>
        <w:t>((</w:t>
      </w:r>
      <w:r>
        <w:rPr>
          <w:strike/>
        </w:rPr>
        <w:t xml:space="preserve">(c)</w:t>
      </w:r>
      <w:r>
        <w:t>))</w:t>
      </w:r>
      <w:r>
        <w:rPr/>
        <w:t xml:space="preserve"> </w:t>
      </w:r>
      <w:r>
        <w:rPr>
          <w:u w:val="single"/>
        </w:rPr>
        <w:t xml:space="preserve">(d) "Customer" means a person or entity to whom the taxpayer makes a sale or renders services or from whom the taxpayer otherwise receives gross income of the business.</w:t>
      </w:r>
    </w:p>
    <w:p>
      <w:pPr>
        <w:spacing w:before="0" w:after="0" w:line="408" w:lineRule="exact"/>
        <w:ind w:left="0" w:right="0" w:firstLine="576"/>
        <w:jc w:val="left"/>
      </w:pPr>
      <w:r>
        <w:rPr>
          <w:u w:val="single"/>
        </w:rPr>
        <w:t xml:space="preserve">(e)</w:t>
      </w:r>
      <w:r>
        <w:rPr/>
        <w:t xml:space="preserve"> "Individual" means any individual who, under the usual common law rules applicable in determining the employer-employee relationship, has the status of an employee of that taxpayer.</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"Customer location" means the </w:t>
      </w:r>
      <w:r>
        <w:t>((</w:t>
      </w:r>
      <w:r>
        <w:rPr>
          <w:strike/>
        </w:rPr>
        <w:t xml:space="preserve">city or unincorporated area of a county where the majority of the contacts between the taxpayer and the customer take place</w:t>
      </w:r>
      <w:r>
        <w:t>))</w:t>
      </w:r>
      <w:r>
        <w:rPr/>
        <w:t xml:space="preserve"> </w:t>
      </w:r>
      <w:r>
        <w:rPr>
          <w:u w:val="single"/>
        </w:rPr>
        <w:t xml:space="preserve">following:</w:t>
      </w:r>
    </w:p>
    <w:p>
      <w:pPr>
        <w:spacing w:before="0" w:after="0" w:line="408" w:lineRule="exact"/>
        <w:ind w:left="0" w:right="0" w:firstLine="576"/>
        <w:jc w:val="left"/>
      </w:pPr>
      <w:r>
        <w:rPr>
          <w:u w:val="single"/>
        </w:rPr>
        <w:t xml:space="preserve">(i) For a customer not engaged in business, if the service requires the customer to be physically present, where the service is performed.</w:t>
      </w:r>
    </w:p>
    <w:p>
      <w:pPr>
        <w:spacing w:before="0" w:after="0" w:line="408" w:lineRule="exact"/>
        <w:ind w:left="0" w:right="0" w:firstLine="576"/>
        <w:jc w:val="left"/>
      </w:pPr>
      <w:r>
        <w:rPr>
          <w:u w:val="single"/>
        </w:rPr>
        <w:t xml:space="preserve">(ii) For a customer not engaged in business, if the service does not require the customer to be physically present:</w:t>
      </w:r>
    </w:p>
    <w:p>
      <w:pPr>
        <w:spacing w:before="0" w:after="0" w:line="408" w:lineRule="exact"/>
        <w:ind w:left="0" w:right="0" w:firstLine="576"/>
        <w:jc w:val="left"/>
      </w:pPr>
      <w:r>
        <w:rPr>
          <w:u w:val="single"/>
        </w:rPr>
        <w:t xml:space="preserve">(A) The customer's residence; or</w:t>
      </w:r>
    </w:p>
    <w:p>
      <w:pPr>
        <w:spacing w:before="0" w:after="0" w:line="408" w:lineRule="exact"/>
        <w:ind w:left="0" w:right="0" w:firstLine="576"/>
        <w:jc w:val="left"/>
      </w:pPr>
      <w:r>
        <w:rPr>
          <w:u w:val="single"/>
        </w:rPr>
        <w:t xml:space="preserve">(B) If the customer's residence is not known, the customer's billing/mailing address.</w:t>
      </w:r>
    </w:p>
    <w:p>
      <w:pPr>
        <w:spacing w:before="0" w:after="0" w:line="408" w:lineRule="exact"/>
        <w:ind w:left="0" w:right="0" w:firstLine="576"/>
        <w:jc w:val="left"/>
      </w:pPr>
      <w:r>
        <w:rPr>
          <w:u w:val="single"/>
        </w:rPr>
        <w:t xml:space="preserve">(iii) For a customer engaged in business:</w:t>
      </w:r>
    </w:p>
    <w:p>
      <w:pPr>
        <w:spacing w:before="0" w:after="0" w:line="408" w:lineRule="exact"/>
        <w:ind w:left="0" w:right="0" w:firstLine="576"/>
        <w:jc w:val="left"/>
      </w:pPr>
      <w:r>
        <w:rPr>
          <w:u w:val="single"/>
        </w:rPr>
        <w:t xml:space="preserve">(A) Where the services are ordered from;</w:t>
      </w:r>
    </w:p>
    <w:p>
      <w:pPr>
        <w:spacing w:before="0" w:after="0" w:line="408" w:lineRule="exact"/>
        <w:ind w:left="0" w:right="0" w:firstLine="576"/>
        <w:jc w:val="left"/>
      </w:pPr>
      <w:r>
        <w:rPr>
          <w:u w:val="single"/>
        </w:rPr>
        <w:t xml:space="preserve">(B) At the customer's billing/mailing address if the location from which the services are ordered is not known; or</w:t>
      </w:r>
    </w:p>
    <w:p>
      <w:pPr>
        <w:spacing w:before="0" w:after="0" w:line="408" w:lineRule="exact"/>
        <w:ind w:left="0" w:right="0" w:firstLine="576"/>
        <w:jc w:val="left"/>
      </w:pPr>
      <w:r>
        <w:rPr>
          <w:u w:val="single"/>
        </w:rPr>
        <w:t xml:space="preserve">(C) At the customer's commercial domicile if none of the above are known</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"Primarily assigned" means the business location of the taxpayer where the individual performs his or her duties.</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"Service-taxable income" or "service income" means gross income of the business subject to tax under either the service or royalty classification.</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"Tax period" means the calendar year during which tax liability is accrued. If taxes are reported by a taxpayer on a basis more frequent than once per year, taxpayers shall calculate the factors for the previous calendar year for reporting in the current calendar year and correct the reporting for the previous year when the factors are calculated for that year, but not later than the end of the first quarter of the following year.</w:t>
      </w:r>
    </w:p>
    <w:p>
      <w:pPr>
        <w:spacing w:before="0" w:after="0" w:line="408" w:lineRule="exact"/>
        <w:ind w:left="0" w:right="0" w:firstLine="576"/>
        <w:jc w:val="left"/>
      </w:pPr>
      <w:r>
        <w:t>((</w:t>
      </w:r>
      <w:r>
        <w:rPr>
          <w:strike/>
        </w:rPr>
        <w:t xml:space="preserve">(h) "Taxable in the customer location" means either that a taxpayer is subject to a gross receipts tax in the customer location for the privilege of doing business, or that the government where the customer is located has the authority to subject the taxpayer to gross receipts tax regardless of whether, in fact, the government does so.</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858dce1c576c46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39f84cb2b246f9" /><Relationship Type="http://schemas.openxmlformats.org/officeDocument/2006/relationships/footer" Target="/word/footer1.xml" Id="R858dce1c576c463f" /></Relationships>
</file>