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1a7b5d6c2342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1360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2019</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2019</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1360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1360</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Transportation (originally sponsored by Representatives Irwin and Fey)</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abstracts of driving records; and amending RCW 46.52.130.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2017 c 43 s 2 are each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 </w:t>
      </w:r>
      <w:r>
        <w:rPr>
          <w:u w:val="single"/>
        </w:rPr>
        <w:t xml:space="preserve">For the purposes of this section, an "agent" means a representative of an authorized recipient that has contracted with the recipient to request driving records on its behalf and insurance pools established under RCW 48.62.031 of which the authorized recipient is a member.</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w:t>
      </w:r>
      <w:r>
        <w:rPr>
          <w:u w:val="single"/>
        </w:rPr>
        <w:t xml:space="preserve">Unless otherwise required in this section, the release of an abstract does not require a signed statement by the subject of the abstract.</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w:t>
      </w:r>
      <w:r>
        <w:rPr>
          <w:u w:val="single"/>
        </w:rPr>
        <w:t xml:space="preserve">or existing</w:t>
      </w:r>
      <w:r>
        <w:rPr/>
        <w:t xml:space="preserve"> volunteer vanpool drivers for insurance and risk management needs.</w:t>
      </w:r>
    </w:p>
    <w:p>
      <w:pPr>
        <w:spacing w:before="0" w:after="0" w:line="408" w:lineRule="exact"/>
        <w:ind w:left="0" w:right="0" w:firstLine="576"/>
        <w:jc w:val="left"/>
      </w:pPr>
      <w:r>
        <w:rPr>
          <w:u w:val="single"/>
        </w:rPr>
        <w:t xml:space="preserve">The director may enter into a contractual agreement with a transit authority or its agent for the purpose of reviewing the driving records of existing vanpool drivers for changes to the record during specified periods of time. The department shall establish a fee for this service, which must be deposited in the highway safety fund. The fee for this service must be set at a level that does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or by registered tow truck operators as defined in RCW 46.55.010 in the performance of their occupational duties while at the scene of a roadside impound or recovery so long as they are not issued a citation.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w:t>
      </w:r>
      <w:r>
        <w:rPr>
          <w:u w:val="single"/>
        </w:rPr>
        <w:t xml:space="preserve">, or their agents,</w:t>
      </w:r>
      <w:r>
        <w:rPr/>
        <w:t xml:space="preserve"> for employment and risk management purposes. </w:t>
      </w:r>
      <w:r>
        <w:rPr>
          <w:u w:val="single"/>
        </w:rPr>
        <w:t xml:space="preserve">The director may enter into a contractual agreement with a unit of local government,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 "Unit of local government" includes an insurance pool established under RCW 48.62.031.</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(6) Effective July 1, 2019, the contents of a driving abstract pursuant to this section shall not include any information related to sealed juvenile records unless that information is required by federal law or regulation.</w:t>
      </w:r>
    </w:p>
    <w:p/>
    <w:p>
      <w:pPr>
        <w:jc w:val="center"/>
      </w:pPr>
      <w:r>
        <w:rPr>
          <w:b/>
        </w:rPr>
        <w:t>--- END ---</w:t>
      </w:r>
    </w:p>
    <w:sectPr>
      <w:pgNumType w:start="1"/>
      <w:footerReference xmlns:r="http://schemas.openxmlformats.org/officeDocument/2006/relationships" r:id="R182cc0867cbf44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4bc7da09644052" /><Relationship Type="http://schemas.openxmlformats.org/officeDocument/2006/relationships/footer" Target="/word/footer1.xml" Id="R182cc0867cbf4446" /></Relationships>
</file>