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9e5322ae040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13, 2019</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Tharinger, Van Werven, Eslick, Ryu, Senn, Thai, Jinkins, and Wylie; by request of Arts Commission</w:t>
      </w:r>
    </w:p>
    <w:p/>
    <w:p>
      <w:r>
        <w:rPr>
          <w:t xml:space="preserve">Read first time 01/18/19.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public art capital budget language permanent for efficiency; and amending RCW 28B.10.027 and 43.17.200.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2018 c 2 s 7013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w:t>
      </w:r>
      <w:r>
        <w:t>((</w:t>
      </w:r>
      <w:r>
        <w:rPr>
          <w:strike/>
        </w:rPr>
        <w:t xml:space="preserve">2015-2017 capital budget and the 2017-2019</w:t>
      </w:r>
      <w:r>
        <w:t>))</w:t>
      </w:r>
      <w:r>
        <w:rPr/>
        <w:t xml:space="preserve"> capital budget, an institution of higher education, working with the Washington </w:t>
      </w:r>
      <w:r>
        <w:rPr>
          <w:u w:val="single"/>
        </w:rPr>
        <w:t xml:space="preserve">state</w:t>
      </w:r>
      <w:r>
        <w:rPr/>
        <w:t xml:space="preserve"> arts commission, may expend up to ten percent of the projected art allocation for a project during the design phase in order to select an artist and design art to be integrated in the building design. The one-half of one percent to be expended by the Washington </w:t>
      </w:r>
      <w:r>
        <w:rPr>
          <w:u w:val="single"/>
        </w:rPr>
        <w:t xml:space="preserve">state</w:t>
      </w:r>
      <w:r>
        <w:rPr/>
        <w:t xml:space="preserve">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2018 c 298 s 7016 are each amended to read as follows:</w:t>
      </w:r>
    </w:p>
    <w:p>
      <w:pPr>
        <w:spacing w:before="0" w:after="0" w:line="408" w:lineRule="exact"/>
        <w:ind w:left="0" w:right="0" w:firstLine="576"/>
        <w:jc w:val="left"/>
      </w:pPr>
      <w:r>
        <w:rPr/>
        <w:t xml:space="preserve">(1)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t xml:space="preserve">(2) </w:t>
      </w:r>
      <w:r>
        <w:t>((</w:t>
      </w:r>
      <w:r>
        <w:rPr>
          <w:strike/>
        </w:rPr>
        <w:t xml:space="preserve">During the 2017-2019 fiscal biennium,</w:t>
      </w:r>
      <w:r>
        <w:t>))</w:t>
      </w:r>
      <w:r>
        <w:rPr/>
        <w:t xml:space="preserve"> </w:t>
      </w:r>
      <w:r>
        <w:rPr>
          <w:u w:val="single"/>
        </w:rPr>
        <w:t xml:space="preserve">F</w:t>
      </w:r>
      <w:r>
        <w:rPr/>
        <w:t xml:space="preserve">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t xml:space="preserve">(3)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 or other buildings of a temporary nature.</w:t>
      </w:r>
    </w:p>
    <w:p/>
    <w:p>
      <w:pPr>
        <w:jc w:val="center"/>
      </w:pPr>
      <w:r>
        <w:rPr>
          <w:b/>
        </w:rPr>
        <w:t>--- END ---</w:t>
      </w:r>
    </w:p>
    <w:sectPr>
      <w:pgNumType w:start="1"/>
      <w:footerReference xmlns:r="http://schemas.openxmlformats.org/officeDocument/2006/relationships" r:id="R3aebfd46df4b45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6c7ef571a4ebc" /><Relationship Type="http://schemas.openxmlformats.org/officeDocument/2006/relationships/footer" Target="/word/footer1.xml" Id="R3aebfd46df4b452f" /></Relationships>
</file>