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4199d6d90e475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1154</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12, 2020</w:t>
            </w:r>
          </w:p>
          <w:p>
            <w:pPr>
              <w:ind w:left="0" w:right="0" w:firstLine="360"/>
            </w:pPr>
            <w:r>
              <w:t xml:space="preserve">Yeas </w:t>
              <w:t xml:space="preserve">95</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12, 2020</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1154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1154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House Capital Budget (originally sponsored by Representative DeBolt)</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financing of Chehalis basin flood damage reduction and habitat restoration projects; reenacting and amending RCW 43.84.092; adding new sections to chapter 43.21A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office of Chehalis basin, established in RCW 43.21A.730, is faithfully carrying out one of the prime directives of legislative intent from chapter 194, Laws of 2016, by drafting a strategic plan and accompanying environmental assessments, as the legislation called for a Chehalis basin strategy that "must include an implementation schedule and quantified measures for evaluating the success of implementation."</w:t>
      </w:r>
    </w:p>
    <w:p>
      <w:pPr>
        <w:spacing w:before="0" w:after="0" w:line="408" w:lineRule="exact"/>
        <w:ind w:left="0" w:right="0" w:firstLine="576"/>
        <w:jc w:val="left"/>
      </w:pPr>
      <w:r>
        <w:rPr/>
        <w:t xml:space="preserve">(2) The legislature also finds that the office of Chehalis basin has been successful in its initial work to secure both state and federal funds for projects in the near term. However, specificity is needed for consideration of the long-term funding needs.</w:t>
      </w:r>
    </w:p>
    <w:p>
      <w:pPr>
        <w:spacing w:before="0" w:after="0" w:line="408" w:lineRule="exact"/>
        <w:ind w:left="0" w:right="0" w:firstLine="576"/>
        <w:jc w:val="left"/>
      </w:pPr>
      <w:r>
        <w:rPr/>
        <w:t xml:space="preserve">(3) In enacted appropriations to date, the legislature has provided significant funding for projects of the office of Chehalis basin, and it is the intent of the legislature to continue to do so.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21A</w:t>
      </w:r>
      <w:r>
        <w:rPr/>
        <w:t xml:space="preserve"> RCW</w:t>
      </w:r>
      <w:r>
        <w:rPr/>
        <w:t xml:space="preserve"> to read as follows:</w:t>
      </w:r>
    </w:p>
    <w:p>
      <w:pPr>
        <w:spacing w:before="0" w:after="0" w:line="408" w:lineRule="exact"/>
        <w:ind w:left="0" w:right="0" w:firstLine="576"/>
        <w:jc w:val="left"/>
      </w:pPr>
      <w:r>
        <w:rPr/>
        <w:t xml:space="preserve">(1) The office of Chehalis basin shall, based on the anticipation of completing the strategic plan with an implementation schedule, submit agency decision packages in preparation for the 2021-2023 fiscal biennium omnibus capital appropriations act, with a report of out-biennia detail, containing:</w:t>
      </w:r>
    </w:p>
    <w:p>
      <w:pPr>
        <w:spacing w:before="0" w:after="0" w:line="408" w:lineRule="exact"/>
        <w:ind w:left="0" w:right="0" w:firstLine="576"/>
        <w:jc w:val="left"/>
      </w:pPr>
      <w:r>
        <w:rPr/>
        <w:t xml:space="preserve">(a) A specific list of projects;</w:t>
      </w:r>
    </w:p>
    <w:p>
      <w:pPr>
        <w:spacing w:before="0" w:after="0" w:line="408" w:lineRule="exact"/>
        <w:ind w:left="0" w:right="0" w:firstLine="576"/>
        <w:jc w:val="left"/>
      </w:pPr>
      <w:r>
        <w:rPr/>
        <w:t xml:space="preserve">(b) Project costs and suggested fund sources;</w:t>
      </w:r>
    </w:p>
    <w:p>
      <w:pPr>
        <w:spacing w:before="0" w:after="0" w:line="408" w:lineRule="exact"/>
        <w:ind w:left="0" w:right="0" w:firstLine="576"/>
        <w:jc w:val="left"/>
      </w:pPr>
      <w:r>
        <w:rPr/>
        <w:t xml:space="preserve">(c) Location information; and</w:t>
      </w:r>
    </w:p>
    <w:p>
      <w:pPr>
        <w:spacing w:before="0" w:after="0" w:line="408" w:lineRule="exact"/>
        <w:ind w:left="0" w:right="0" w:firstLine="576"/>
        <w:jc w:val="left"/>
      </w:pPr>
      <w:r>
        <w:rPr/>
        <w:t xml:space="preserve">(d) A time frame, including initiation and completion.</w:t>
      </w:r>
    </w:p>
    <w:p>
      <w:pPr>
        <w:spacing w:before="0" w:after="0" w:line="408" w:lineRule="exact"/>
        <w:ind w:left="0" w:right="0" w:firstLine="576"/>
        <w:jc w:val="left"/>
      </w:pPr>
      <w:r>
        <w:rPr/>
        <w:t xml:space="preserve">(2) The total cost for all submitted projects are expected to be consistent with biennial amounts of prior requests, which were fifty million dollars in state bonds in 2017-2019 and seventy-three million two hundred thousand dollars in 2019-2021 in state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21A</w:t>
      </w:r>
      <w:r>
        <w:rPr/>
        <w:t xml:space="preserve"> RCW</w:t>
      </w:r>
      <w:r>
        <w:rPr/>
        <w:t xml:space="preserve"> to read as follows:</w:t>
      </w:r>
    </w:p>
    <w:p>
      <w:pPr>
        <w:spacing w:before="0" w:after="0" w:line="408" w:lineRule="exact"/>
        <w:ind w:left="0" w:right="0" w:firstLine="576"/>
        <w:jc w:val="left"/>
      </w:pPr>
      <w:r>
        <w:rPr/>
        <w:t xml:space="preserve">The office of Chehalis basin shall submit a report by January 1, 2021, to the legislature that meets the requirement of a finalized strategic plan containing an implementation schedule and quantified measures for evaluating the success of implementation, and the appropriate policy and fiscal committees of the legislature shall, within one hundred twenty days of the receipt, conduct a joint hearing for the purposes of: (1) Receiving a report from the office of Chehalis basin; and (2) considering potential funding strategies to achieve the implementation schedule.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21A</w:t>
      </w:r>
      <w:r>
        <w:rPr/>
        <w:t xml:space="preserve"> RCW</w:t>
      </w:r>
      <w:r>
        <w:rPr/>
        <w:t xml:space="preserve"> to read as follows:</w:t>
      </w:r>
    </w:p>
    <w:p>
      <w:pPr>
        <w:spacing w:before="0" w:after="0" w:line="408" w:lineRule="exact"/>
        <w:ind w:left="0" w:right="0" w:firstLine="576"/>
        <w:jc w:val="left"/>
      </w:pPr>
      <w:r>
        <w:rPr/>
        <w:t xml:space="preserve">The Chehalis basin taxable account is created in the state treasury. All receipts from the proceeds of taxable bonds for the office of Chehalis basin, as well as other moneys directed to the account, must be deposited in the account. Interest earned by deposits in the account will be retained in the account. Moneys in the account may be spent only after appropriation. Expenditures from the account may be used only for the purposes set out in RCW 43.21A.730 and for the payment of expenses incurred in the issuance and sale of the bonds.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2019 c 421 s 15, 2019 c 403 s 14, 2019 c 365 s 19, 2019 c 287 s 19, and 2019 c 95 s 6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Chehalis basin account, </w:t>
      </w:r>
      <w:r>
        <w:rPr>
          <w:u w:val="single"/>
        </w:rPr>
        <w:t xml:space="preserve">the Chehalis basin taxable account,</w:t>
      </w:r>
      <w:r>
        <w:rPr/>
        <w:t xml:space="preserve">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licensing tuition recovery trust fund, the department of retirement systems expense account, the developmental disabilities community trust account, the diesel idle reduction account, the drinking water assistance account, the drinking water assistance administrative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state higher education construction account, the higher education construction account, the highway bond retirement fund, the highway infrastructure account, the highway safety fund, the hospital safety net assessment fund, the industrial insurance premium refund account, the Interstate 405 and state route number 167 express toll lanes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statewide broadband account, the statewide tourism marketing account, the student achievement council tuition recovery trust fund,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
      <w:pPr>
        <w:jc w:val="center"/>
      </w:pPr>
      <w:r>
        <w:rPr>
          <w:b/>
        </w:rPr>
        <w:t>--- END ---</w:t>
      </w:r>
    </w:p>
    <w:sectPr>
      <w:pgNumType w:start="1"/>
      <w:footerReference xmlns:r="http://schemas.openxmlformats.org/officeDocument/2006/relationships" r:id="R976b3eb2b8744d3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1154.PL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10e385ad744275" /><Relationship Type="http://schemas.openxmlformats.org/officeDocument/2006/relationships/footer" Target="/word/footer1.xml" Id="R976b3eb2b8744d3b" /></Relationships>
</file>