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492aeae424e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1094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86</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Blake and Walsh)</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compassionate care renewals for medical marijuana qualifying patients; amending RCW 69.51A.030 and 69.51A.230; and adding a new section to chapter 69.51A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2015 c 70 s 18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marijuana or that the patient may benefit from the medical use of marijuana;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marijuana in accordance with this section.</w:t>
      </w:r>
    </w:p>
    <w:p>
      <w:pPr>
        <w:spacing w:before="0" w:after="0" w:line="408" w:lineRule="exact"/>
        <w:ind w:left="0" w:right="0" w:firstLine="576"/>
        <w:jc w:val="left"/>
      </w:pPr>
      <w:r>
        <w:rPr/>
        <w:t xml:space="preserve">(b) In order to authorize for the medical use of marijuana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w:t>
      </w:r>
      <w:r>
        <w:rPr>
          <w:u w:val="single"/>
        </w:rPr>
        <w:t xml:space="preserve">or a remote physical examination of the patient if one is determined to be appropriate under (c)(iii) of this subsection</w:t>
      </w:r>
      <w:r>
        <w:rPr/>
        <w:t xml:space="preserve">;</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marijuana;</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marijuana;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w:t>
      </w:r>
      <w:r>
        <w:rPr>
          <w:u w:val="single"/>
        </w:rPr>
        <w:t xml:space="preserve">(i)</w:t>
      </w:r>
      <w:r>
        <w:rPr/>
        <w:t xml:space="preserve">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u w:val="single"/>
        </w:rPr>
        <w:t xml:space="preserve">(ii)</w:t>
      </w:r>
      <w:r>
        <w:rPr/>
        <w:t xml:space="preserve"> An authorization may be renewed upon completion of an in-person physical examination </w:t>
      </w:r>
      <w:r>
        <w:t>((</w:t>
      </w:r>
      <w:r>
        <w:rPr>
          <w:strike/>
        </w:rPr>
        <w:t xml:space="preserve">and</w:t>
      </w:r>
      <w:r>
        <w:t>))</w:t>
      </w:r>
      <w:r>
        <w:rPr/>
        <w:t xml:space="preserve"> </w:t>
      </w:r>
      <w:r>
        <w:rPr>
          <w:u w:val="single"/>
        </w:rPr>
        <w:t xml:space="preserve">or a remote physical examination of the patient if one is determined to be appropriate under (c)(iii) of this subsection and, in</w:t>
      </w:r>
      <w:r>
        <w:rPr/>
        <w:t xml:space="preserve"> compliance with the other requirements of (b) of this subsection.</w:t>
      </w:r>
    </w:p>
    <w:p>
      <w:pPr>
        <w:spacing w:before="0" w:after="0" w:line="408" w:lineRule="exact"/>
        <w:ind w:left="0" w:right="0" w:firstLine="576"/>
        <w:jc w:val="left"/>
      </w:pPr>
      <w:r>
        <w:rPr>
          <w:u w:val="single"/>
        </w:rPr>
        <w:t xml:space="preserve">(iii) Following an in-person physical examination to authorize the use of marijuana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u w:val="single"/>
        </w:rPr>
        <w:t xml:space="preserve">(iv) When renewing a qualifying patient's authorization for the medical use of marijuana on or after the effective date of this section, the health care professional may indicate that the qualifying patient qualifies for a compassionate care renewal of his or her registration in the medical marijuana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marijuana retailer, marijuana processor, or marijuana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marijuana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marijuana is produced, processed, or sold;</w:t>
      </w:r>
    </w:p>
    <w:p>
      <w:pPr>
        <w:spacing w:before="0" w:after="0" w:line="408" w:lineRule="exact"/>
        <w:ind w:left="0" w:right="0" w:firstLine="576"/>
        <w:jc w:val="left"/>
      </w:pPr>
      <w:r>
        <w:rPr/>
        <w:t xml:space="preserve">(iv) Have a business or practice which consists primarily of authorizing the medical use of marijuana or authorize the medical use of marijuana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marijuana concentrates, marijuana-infused products, or useable marijuana to a qualifying patient or designated provider; or</w:t>
      </w:r>
    </w:p>
    <w:p>
      <w:pPr>
        <w:spacing w:before="0" w:after="0" w:line="408" w:lineRule="exact"/>
        <w:ind w:left="0" w:right="0" w:firstLine="576"/>
        <w:jc w:val="left"/>
      </w:pPr>
      <w:r>
        <w:rPr/>
        <w:t xml:space="preserve">(vi) Hold an economic interest in an enterprise that produces, processes, or sells marijuana if the health care professional authorizes the medical use of marijuana.</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spacing w:before="0" w:after="0" w:line="408" w:lineRule="exact"/>
        <w:ind w:left="0" w:right="0" w:firstLine="576"/>
        <w:jc w:val="left"/>
      </w:pPr>
      <w:r>
        <w:rPr/>
        <w:t xml:space="preserve">(4) </w:t>
      </w:r>
      <w:r>
        <w:t>((</w:t>
      </w:r>
      <w:r>
        <w:rPr>
          <w:strike/>
        </w:rPr>
        <w:t xml:space="preserve">Until July 1, 2016, a health care professional who, within a single calendar month, authorizes the medical use of marijuana to more than thirty patients must report the number of authorizations issued.</w:t>
      </w:r>
    </w:p>
    <w:p>
      <w:pPr>
        <w:spacing w:before="0" w:after="0" w:line="408" w:lineRule="exact"/>
        <w:ind w:left="0" w:right="0" w:firstLine="576"/>
        <w:jc w:val="left"/>
      </w:pPr>
      <w:r>
        <w:rPr>
          <w:strike/>
        </w:rPr>
        <w:t xml:space="preserve">(5)</w:t>
      </w:r>
      <w:r>
        <w:t>))</w:t>
      </w:r>
      <w:r>
        <w:rPr/>
        <w:t xml:space="preserve">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a health care professional authorizes a qualifying patient for the medical use of marijuana, he or she may discuss with the qualifying patient how to use marijuana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w:t>
      </w:r>
      <w:r>
        <w:rPr>
          <w:u w:val="single"/>
        </w:rPr>
        <w:t xml:space="preserve">(a)</w:t>
      </w:r>
      <w:r>
        <w:rPr/>
        <w:t xml:space="preserve">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u w:val="single"/>
        </w:rPr>
        <w:t xml:space="preserve">(b) Beginning on the effective date of this section, a qualifying patient's registration in the medical marijuana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compassionate care renewals permitted in RCW 69.51A.030 and 69.51A.230 take effect November 1, 2019. The department may adopt rules to implement these renewals and to streamline administrative functions. However, the policy established in these sections may not be delayed until the rules are adopted.</w:t>
      </w:r>
    </w:p>
    <w:p/>
    <w:p>
      <w:pPr>
        <w:jc w:val="center"/>
      </w:pPr>
      <w:r>
        <w:rPr>
          <w:b/>
        </w:rPr>
        <w:t>--- END ---</w:t>
      </w:r>
    </w:p>
    <w:sectPr>
      <w:pgNumType w:start="1"/>
      <w:footerReference xmlns:r="http://schemas.openxmlformats.org/officeDocument/2006/relationships" r:id="R6c82e1e06c8a48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c007a4d0384009" /><Relationship Type="http://schemas.openxmlformats.org/officeDocument/2006/relationships/footer" Target="/word/footer1.xml" Id="R6c82e1e06c8a487d" /></Relationships>
</file>