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32983962a46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1066</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14, 2019</w:t>
            </w:r>
          </w:p>
          <w:p>
            <w:pPr>
              <w:ind w:left="0" w:right="0" w:firstLine="360"/>
            </w:pPr>
            <w:r>
              <w:t xml:space="preserve">Yeas </w:t>
              <w:t xml:space="preserve">59</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1066</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Kilduff, Valdez, Orwall, Jinkins, Ryu, Bergquist, Stanford, Leavitt, Walen, and Young; by request of Attorney General</w:t>
      </w:r>
    </w:p>
    <w:p/>
    <w:p>
      <w:r>
        <w:rPr>
          <w:t xml:space="preserve">Prefiled 12/24/18.</w:t>
        </w:rPr>
      </w:r>
      <w:r>
        <w:rPr>
          <w:t xml:space="preserve">Read first time 01/14/19.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service of legal actions to collect a debt by a collection agency; amending RCW 19.16.250;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Due process requires that all defendants in court proceedings be provided with adequate notice and a reasonable opportunity to be heard;</w:t>
      </w:r>
    </w:p>
    <w:p>
      <w:pPr>
        <w:spacing w:before="0" w:after="0" w:line="408" w:lineRule="exact"/>
        <w:ind w:left="0" w:right="0" w:firstLine="576"/>
        <w:jc w:val="left"/>
      </w:pPr>
      <w:r>
        <w:rPr/>
        <w:t xml:space="preserve">(b) Washington superior court civil rule 3 generally allows a plaintiff to serve a defendant with an unfiled summons and complaint. This superior court practice, known as "pocket service," is not allowed in Washington's courts of limited jurisdiction, including the district courts. Pocket service need not interfere with a defendant's due process rights if the defendant is represented by counsel or otherwise familiar with local legal procedural rules;</w:t>
      </w:r>
    </w:p>
    <w:p>
      <w:pPr>
        <w:spacing w:before="0" w:after="0" w:line="408" w:lineRule="exact"/>
        <w:ind w:left="0" w:right="0" w:firstLine="576"/>
        <w:jc w:val="left"/>
      </w:pPr>
      <w:r>
        <w:rPr/>
        <w:t xml:space="preserve">(c) In the debt collection context, however, many defendants are unfamiliar with the legal process, and most are unrepresented. When served with an unfiled, unnumbered summons and complaint, these defendants do not always realize that they must respond to the unfiled case, or know how to do so, to avoid a default judgment;</w:t>
      </w:r>
    </w:p>
    <w:p>
      <w:pPr>
        <w:spacing w:before="0" w:after="0" w:line="408" w:lineRule="exact"/>
        <w:ind w:left="0" w:right="0" w:firstLine="576"/>
        <w:jc w:val="left"/>
      </w:pPr>
      <w:r>
        <w:rPr/>
        <w:t xml:space="preserve">(d) In the debt collection context, many unrepresented defendants reasonably conclude that the unnumbered summons and complaint are not valid, particularly when they call the court and are told that no case has been filed. They then intentionally fail to answer and unwittingly give up their only opportunity to contest the debt;</w:t>
      </w:r>
    </w:p>
    <w:p>
      <w:pPr>
        <w:spacing w:before="0" w:after="0" w:line="408" w:lineRule="exact"/>
        <w:ind w:left="0" w:right="0" w:firstLine="576"/>
        <w:jc w:val="left"/>
      </w:pPr>
      <w:r>
        <w:rPr/>
        <w:t xml:space="preserve">(e) For these reasons, among others, a majority of defendants in debt collection cases filed in Washington superior courts fail to respond to the summons and complaint and, as a result, have default judgments entered against them.</w:t>
      </w:r>
    </w:p>
    <w:p>
      <w:pPr>
        <w:spacing w:before="0" w:after="0" w:line="408" w:lineRule="exact"/>
        <w:ind w:left="0" w:right="0" w:firstLine="576"/>
        <w:jc w:val="left"/>
      </w:pPr>
      <w:r>
        <w:rPr/>
        <w:t xml:space="preserve">(2)</w:t>
      </w:r>
      <w:r>
        <w:rPr/>
        <w:t xml:space="preserve"> Therefore, the legislature intends to require that debt collection complaints be filed prior to service of the summons and complaint on defendants to ensure that defendants understand that it is an existing court case, are informed of the case number, and receive adequate notice and a reasonable opportunity to respond and be heard to avoid default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2016 c 86 s 4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(27) Serve a debtor with a summons and complaint unless the summons and complaint have been filed with the court and bear the case number assigned by the court.</w:t>
      </w:r>
    </w:p>
    <w:p/>
    <w:p>
      <w:pPr>
        <w:jc w:val="center"/>
      </w:pPr>
      <w:r>
        <w:rPr>
          <w:b/>
        </w:rPr>
        <w:t>--- END ---</w:t>
      </w:r>
    </w:p>
    <w:sectPr>
      <w:pgNumType w:start="1"/>
      <w:footerReference xmlns:r="http://schemas.openxmlformats.org/officeDocument/2006/relationships" r:id="R62dea9906edd42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0e2787707a49e6" /><Relationship Type="http://schemas.openxmlformats.org/officeDocument/2006/relationships/footer" Target="/word/footer1.xml" Id="R62dea9906edd4258" /></Relationships>
</file>