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492fadd6ad44d7" /></Relationships>
</file>

<file path=word/document.xml><?xml version="1.0" encoding="utf-8"?>
<w:document xmlns:w="http://schemas.openxmlformats.org/wordprocessingml/2006/main">
  <w:body>
    <w:p>
      <w:r>
        <w:t>H-3805.2</w:t>
      </w:r>
    </w:p>
    <w:p>
      <w:pPr>
        <w:jc w:val="center"/>
      </w:pPr>
      <w:r>
        <w:t>_______________________________________________</w:t>
      </w:r>
    </w:p>
    <w:p/>
    <w:p>
      <w:pPr>
        <w:jc w:val="center"/>
      </w:pPr>
      <w:r>
        <w:rPr>
          <w:b/>
        </w:rPr>
        <w:t>HOUSE JOINT RESOLUTION 4210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Wylie, Cody, Gregerson, Pollet, Tarleton, Senn, and Davis</w:t>
      </w:r>
    </w:p>
    <w:p/>
    <w:p>
      <w:r>
        <w:rPr>
          <w:t xml:space="preserve">Read first time 01/15/20.  </w:t>
        </w:rPr>
      </w:r>
      <w:r>
        <w:rPr>
          <w:t xml:space="preserve">Referred to Committee on Public Safety.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 20 of the Constitution of the state of Washington to read as follows:</w:t>
      </w:r>
    </w:p>
    <w:p>
      <w:pPr>
        <w:spacing w:before="0" w:after="0" w:line="408" w:lineRule="exact"/>
        <w:ind w:left="0" w:right="0" w:firstLine="576"/>
        <w:jc w:val="left"/>
      </w:pPr>
      <w:r>
        <w:rPr/>
        <w:t xml:space="preserve">Article I, section 20. All persons charged with crime shall be bailable by sufficient sureties, except for capital offenses when the proof is evident, or the presumption great. </w:t>
      </w:r>
      <w:r>
        <w:t>((</w:t>
      </w:r>
      <w:r>
        <w:rPr>
          <w:strike/>
        </w:rPr>
        <w:t xml:space="preserve">Bail</w:t>
      </w:r>
      <w:r>
        <w:t>))</w:t>
      </w:r>
      <w:r>
        <w:rPr/>
        <w:t xml:space="preserve"> </w:t>
      </w:r>
      <w:r>
        <w:rPr>
          <w:u w:val="single"/>
        </w:rPr>
        <w:t xml:space="preserve">Subject to such limitations as shall be determined by the legislature, bail</w:t>
      </w:r>
      <w:r>
        <w:rPr/>
        <w:t xml:space="preserve"> may be denied for offenses punishable by the possibility of life in prison upon a showing by clear and convincing evidence of a propensity for violence that creates a substantial likelihood of danger to the community or any persons</w:t>
      </w:r>
      <w:r>
        <w:t>((</w:t>
      </w:r>
      <w:r>
        <w:rPr>
          <w:strike/>
        </w:rPr>
        <w:t xml:space="preserve">, subject to such limitations as shall be determined by the legislature</w:t>
      </w:r>
      <w:r>
        <w:t>))</w:t>
      </w:r>
      <w:r>
        <w:rPr/>
        <w:t xml:space="preserve"> </w:t>
      </w:r>
      <w:r>
        <w:rPr>
          <w:u w:val="single"/>
        </w:rPr>
        <w:t xml:space="preserve">and for offenses involving the possession or attempted possession of a firearm in violation of a court order prohibiting the person from accessing, obtaining, or possessing firearms</w:t>
      </w:r>
      <w:r>
        <w:rPr/>
        <w:t xml:space="preserve">.</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4ba18abc825d43b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414a4064c4465" /><Relationship Type="http://schemas.openxmlformats.org/officeDocument/2006/relationships/footer" Target="/word/footer1.xml" Id="R4ba18abc825d43bf" /></Relationships>
</file>