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9be1d8d94942a6" /></Relationships>
</file>

<file path=word/document.xml><?xml version="1.0" encoding="utf-8"?>
<w:document xmlns:w="http://schemas.openxmlformats.org/wordprocessingml/2006/main">
  <w:body>
    <w:p>
      <w:r>
        <w:t>H-1279.1</w:t>
      </w:r>
    </w:p>
    <w:p>
      <w:pPr>
        <w:jc w:val="center"/>
      </w:pPr>
      <w:r>
        <w:t>_______________________________________________</w:t>
      </w:r>
    </w:p>
    <w:p/>
    <w:p>
      <w:pPr>
        <w:jc w:val="center"/>
      </w:pPr>
      <w:r>
        <w:rPr>
          <w:b/>
        </w:rPr>
        <w:t>HOUSE JOINT RESOLUTION 4207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and McCaslin</w:t>
      </w:r>
    </w:p>
    <w:p/>
    <w:p>
      <w:r>
        <w:rPr>
          <w:t xml:space="preserve">Read first time 02/01/19.  </w:t>
        </w:rPr>
      </w:r>
      <w:r>
        <w:rPr>
          <w:t xml:space="preserve">Referred to Committee on Civil Rights &amp;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IV of the Constitution of the state of Washington by adding a new section to read as follows:</w:t>
      </w:r>
    </w:p>
    <w:p>
      <w:pPr>
        <w:spacing w:before="0" w:after="120" w:line="408" w:lineRule="exact"/>
        <w:ind w:left="0" w:right="0" w:firstLine="576"/>
        <w:jc w:val="left"/>
      </w:pPr>
      <w:r>
        <w:rPr/>
        <w:t xml:space="preserve">Article IV, section . . ..  All mandatory, regulatory, licensing, and disciplinary functions regarding the practice of law and the administration of justice in this state shall reside exclusively in the supreme court. Judicial legislative policies and functions pertaining to the practice of law and the administration of justice shall be reasonably related to the following subjects: Regulating and disciplining lawyers; improving the functioning of the courts, including issues of judicial independence, fairness, efficacy, and efficiency; making legal services available to society; regulating lawyer trust accounts; the education, ethics, competence, integrity, and regulation of the legal profession; providing law improvement assistance to elected and appointed government officials; issues involving the structure, organization, and operation of federal, state, and local courts in or affecting Washington; issues involving the rules of practice, procedure, and evidence in federal, state, or local courts in or affecting Washington; or issues involving the duties and functions of judges and lawyers in federal, state, and local courts in or affecting Washington. Involuntary, mandatory bar associations are hereby prohibited.</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7833cf0e55a46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12174156a4662" /><Relationship Type="http://schemas.openxmlformats.org/officeDocument/2006/relationships/footer" Target="/word/footer1.xml" Id="R27833cf0e55a460d" /></Relationships>
</file>