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754bfa0084d4d" /></Relationships>
</file>

<file path=word/document.xml><?xml version="1.0" encoding="utf-8"?>
<w:document xmlns:w="http://schemas.openxmlformats.org/wordprocessingml/2006/main">
  <w:body>
    <w:p>
      <w:r>
        <w:t>H-2431.1</w:t>
      </w:r>
    </w:p>
    <w:p>
      <w:pPr>
        <w:jc w:val="center"/>
      </w:pPr>
      <w:r>
        <w:t>_______________________________________________</w:t>
      </w:r>
    </w:p>
    <w:p/>
    <w:p>
      <w:pPr>
        <w:jc w:val="center"/>
      </w:pPr>
      <w:r>
        <w:rPr>
          <w:b/>
        </w:rPr>
        <w:t>HOUSE JOINT MEMORIAL 4010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Shea, Walsh, McCaslin, Sutherland, Rude, and Eslick</w:t>
      </w:r>
    </w:p>
    <w:p/>
    <w:p>
      <w:r>
        <w:rPr>
          <w:t xml:space="preserve">Read first time 04/01/19.  </w:t>
        </w:rPr>
      </w:r>
      <w:r>
        <w:rPr>
          <w:t xml:space="preserve">Referred to Committee on Civil Rights &amp; Judiciary.</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passed into law the national childhood vaccine injury act of 1986, which states that "[n]o vaccine manufacturer shall be liable in a civil action for damages arising from a vaccine-related injury or death associated with the administration of a vaccine after October 1, 1988, if the injury or death resulted from side effects that were unavoidable even though the vaccine was properly prepared and was accompanied by proper directions and warnings."; and</w:t>
      </w:r>
    </w:p>
    <w:p>
      <w:pPr>
        <w:spacing w:before="0" w:after="0" w:line="408" w:lineRule="exact"/>
        <w:ind w:left="0" w:right="0" w:firstLine="576"/>
        <w:jc w:val="left"/>
      </w:pPr>
      <w:r>
        <w:rPr/>
        <w:t xml:space="preserve">WHEREAS, In 2011, the United States supreme court ruled in </w:t>
      </w:r>
      <w:r>
        <w:rPr>
          <w:i/>
        </w:rPr>
        <w:t xml:space="preserve">Brueswitz v. Wyeth</w:t>
      </w:r>
      <w:r>
        <w:rPr/>
        <w:t xml:space="preserve"> that the national childhood vaccine injury act preempts all design defect claims against vaccine manufacturers brought by plaintiffs who seek compensation for injury or death caused by vaccine side effects; and</w:t>
      </w:r>
    </w:p>
    <w:p>
      <w:pPr>
        <w:spacing w:before="0" w:after="0" w:line="408" w:lineRule="exact"/>
        <w:ind w:left="0" w:right="0" w:firstLine="576"/>
        <w:jc w:val="left"/>
      </w:pPr>
      <w:r>
        <w:rPr/>
        <w:t xml:space="preserve">WHEREAS, Our individual human rights should outweigh the profits of pharmaceutical companies, and individuals should have the ability to hold vaccine manufacturers liable for design defects that result in adverse side effects from vaccines; and</w:t>
      </w:r>
    </w:p>
    <w:p>
      <w:pPr>
        <w:spacing w:before="0" w:after="0" w:line="408" w:lineRule="exact"/>
        <w:ind w:left="0" w:right="0" w:firstLine="576"/>
        <w:jc w:val="left"/>
      </w:pPr>
      <w:r>
        <w:rPr/>
        <w:t xml:space="preserve">WHEREAS, The European Union has found a way to allow evidence-based suits holding vaccine manufacturers liable without destabilizing the European health care system;</w:t>
      </w:r>
    </w:p>
    <w:p>
      <w:pPr>
        <w:spacing w:before="0" w:after="0" w:line="408" w:lineRule="exact"/>
        <w:ind w:left="0" w:right="0" w:firstLine="576"/>
        <w:jc w:val="left"/>
      </w:pPr>
      <w:r>
        <w:rPr/>
        <w:t xml:space="preserve">NOW, THEREFORE, Your Memorialists respectfully pray that the United States Congress pass, and the President of the United States sign, legislation removing 42 U.S.C. Sec. 300aa-22(b)(1) from law and therefore allow design defect claims against vaccine manufacturers by individuals who have experienced adverse side effects caused by vaccines.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Secretary of the United States Department of Health and Human Services, the President of the United States Senate, the Speaker of the House of Representatives, and each member of Congress from the State of Washington.</w:t>
      </w:r>
    </w:p>
    <w:sectPr>
      <w:pgNumType w:start="1"/>
      <w:footerReference xmlns:r="http://schemas.openxmlformats.org/officeDocument/2006/relationships" r:id="R6b3a4720123a46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2af1b9e6c4fc3" /><Relationship Type="http://schemas.openxmlformats.org/officeDocument/2006/relationships/footer" Target="/word/footer1.xml" Id="R6b3a4720123a46db" /></Relationships>
</file>