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67e942096431a" /></Relationships>
</file>

<file path=word/document.xml><?xml version="1.0" encoding="utf-8"?>
<w:document xmlns:w="http://schemas.openxmlformats.org/wordprocessingml/2006/main">
  <w:body>
    <w:p>
      <w:r>
        <w:t>H-5047.1</w:t>
      </w:r>
    </w:p>
    <w:p>
      <w:pPr>
        <w:jc w:val="center"/>
      </w:pPr>
      <w:r>
        <w:t>_______________________________________________</w:t>
      </w:r>
    </w:p>
    <w:p/>
    <w:p>
      <w:pPr>
        <w:jc w:val="center"/>
      </w:pPr>
      <w:r>
        <w:rPr>
          <w:b/>
        </w:rPr>
        <w:t>HOUSE BILL 2952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Vick, Stokesbary, Dent, Harris, Van Werven, Walsh, and Graham</w:t>
      </w:r>
    </w:p>
    <w:p/>
    <w:p>
      <w:r>
        <w:rPr>
          <w:t xml:space="preserve">Read first time 02/27/20.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automatic adjustment of the per barrel hazardous substances tax rate on petroleum products; and amending RCW 82.21.030.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2019 c 422 s 201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one dollar and nine cents per barrel. The tax collected under this subsection (1)(b) on petroleum products must be deposited as follows, after first depositing the tax as provided in (c) of this subsection (1):</w:t>
      </w:r>
    </w:p>
    <w:p>
      <w:pPr>
        <w:spacing w:before="0" w:after="0" w:line="408" w:lineRule="exact"/>
        <w:ind w:left="0" w:right="0" w:firstLine="576"/>
        <w:jc w:val="left"/>
      </w:pPr>
      <w:r>
        <w:rPr/>
        <w:t xml:space="preserve">(i) Sixty percent to the model toxics control operating account created under RCW 70.105D.190;</w:t>
      </w:r>
    </w:p>
    <w:p>
      <w:pPr>
        <w:spacing w:before="0" w:after="0" w:line="408" w:lineRule="exact"/>
        <w:ind w:left="0" w:right="0" w:firstLine="576"/>
        <w:jc w:val="left"/>
      </w:pPr>
      <w:r>
        <w:rPr/>
        <w:t xml:space="preserve">(ii) Twenty-five percent to the model toxics control capital account created under RCW 70.105D.200; and</w:t>
      </w:r>
    </w:p>
    <w:p>
      <w:pPr>
        <w:spacing w:before="0" w:after="0" w:line="408" w:lineRule="exact"/>
        <w:ind w:left="0" w:right="0" w:firstLine="576"/>
        <w:jc w:val="left"/>
      </w:pPr>
      <w:r>
        <w:rPr/>
        <w:t xml:space="preserve">(iii) Fifteen percent to the model toxics control stormwater account created under RCW 70.105D.210.</w:t>
      </w:r>
    </w:p>
    <w:p>
      <w:pPr>
        <w:spacing w:before="0" w:after="0" w:line="408" w:lineRule="exact"/>
        <w:ind w:left="0" w:right="0" w:firstLine="576"/>
        <w:jc w:val="left"/>
      </w:pPr>
      <w:r>
        <w:rPr/>
        <w:t xml:space="preserve">(c) Until the beginning of the ensuing biennium after the enactment of an additive transportation funding act, fifty million dollars per biennium to the motor vehicle fund to be used exclusively for transportation stormwater activities and projects. For purposes of this subsection, "additive transportation funding act" means an act in which the combined total of new revenues deposited into the motor vehicle fund and the multimodal transportation account exceed two billion dollars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 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t>((</w:t>
      </w:r>
      <w:r>
        <w:rPr>
          <w:strike/>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twelve-month period ending December 31st of the prior year.</w:t>
      </w:r>
      <w:r>
        <w:t>))</w:t>
      </w:r>
    </w:p>
    <w:p/>
    <w:p>
      <w:pPr>
        <w:jc w:val="center"/>
      </w:pPr>
      <w:r>
        <w:rPr>
          <w:b/>
        </w:rPr>
        <w:t>--- END ---</w:t>
      </w:r>
    </w:p>
    <w:sectPr>
      <w:pgNumType w:start="1"/>
      <w:footerReference xmlns:r="http://schemas.openxmlformats.org/officeDocument/2006/relationships" r:id="R728ece772a7447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f15cf02bd43d2" /><Relationship Type="http://schemas.openxmlformats.org/officeDocument/2006/relationships/footer" Target="/word/footer1.xml" Id="R728ece772a744748" /></Relationships>
</file>