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f3f29c528c453f" /></Relationships>
</file>

<file path=word/document.xml><?xml version="1.0" encoding="utf-8"?>
<w:document xmlns:w="http://schemas.openxmlformats.org/wordprocessingml/2006/main">
  <w:body>
    <w:p>
      <w:r>
        <w:t>H-4930.1</w:t>
      </w:r>
    </w:p>
    <w:p>
      <w:pPr>
        <w:jc w:val="center"/>
      </w:pPr>
      <w:r>
        <w:t>_______________________________________________</w:t>
      </w:r>
    </w:p>
    <w:p/>
    <w:p>
      <w:pPr>
        <w:jc w:val="center"/>
      </w:pPr>
      <w:r>
        <w:rPr>
          <w:b/>
        </w:rPr>
        <w:t>HOUSE BILL 2943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Robinson, Chapman, and Tharinger</w:t>
      </w:r>
    </w:p>
    <w:p/>
    <w:p>
      <w:r>
        <w:rPr>
          <w:t xml:space="preserve">Read first time 02/18/20.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preference for behavioral health administrative services organizations; adding a new section to chapter 82.04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2020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reducing taxes so more money can go directly to behavioral health services, as indicated in RCW 82.32.808(2)(f).</w:t>
      </w:r>
    </w:p>
    <w:p>
      <w:pPr>
        <w:spacing w:before="0" w:after="0" w:line="408" w:lineRule="exact"/>
        <w:ind w:left="0" w:right="0" w:firstLine="576"/>
        <w:jc w:val="left"/>
      </w:pPr>
      <w:r>
        <w:rPr/>
        <w:t xml:space="preserve">(3) It is the legislature's specific public policy objective to support behavioral health services that can prevent more serious and costly health issues.</w:t>
      </w:r>
    </w:p>
    <w:p>
      <w:pPr>
        <w:spacing w:before="0" w:after="0" w:line="408" w:lineRule="exact"/>
        <w:ind w:left="0" w:right="0" w:firstLine="576"/>
        <w:jc w:val="left"/>
      </w:pPr>
      <w:r>
        <w:rPr/>
        <w:t xml:space="preserve">(4) If a review finds that the amount of funding available for behavioral health services by these taxpayers increased,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substance use disorder treatment services under a government-funded program.</w:t>
      </w:r>
    </w:p>
    <w:p>
      <w:pPr>
        <w:spacing w:before="0" w:after="0" w:line="408" w:lineRule="exact"/>
        <w:ind w:left="0" w:right="0" w:firstLine="576"/>
        <w:jc w:val="left"/>
      </w:pPr>
      <w:r>
        <w:rPr/>
        <w:t xml:space="preserve">(2) A behavioral health administrative services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tax performance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"Behavioral health administrative services organization" has the same meaning as provided in RCW 71.24.025.</w:t>
      </w:r>
    </w:p>
    <w:p>
      <w:pPr>
        <w:spacing w:before="0" w:after="0" w:line="408" w:lineRule="exact"/>
        <w:ind w:left="0" w:right="0" w:firstLine="576"/>
        <w:jc w:val="left"/>
      </w:pPr>
      <w:r>
        <w:rPr/>
        <w:t xml:space="preserve">(b) "Health or social welfare organization" has the meaning provided in RCW 82.04.431.</w:t>
      </w:r>
    </w:p>
    <w:p>
      <w:pPr>
        <w:spacing w:before="0" w:after="0" w:line="408" w:lineRule="exact"/>
        <w:ind w:left="0" w:right="0" w:firstLine="576"/>
        <w:jc w:val="left"/>
      </w:pPr>
      <w:r>
        <w:rPr/>
        <w:t xml:space="preserve">(c) "Mental health services" means mental health services as described in chapter 71.24 RCW.</w:t>
      </w:r>
    </w:p>
    <w:p>
      <w:pPr>
        <w:spacing w:before="0" w:after="0" w:line="408" w:lineRule="exact"/>
        <w:ind w:left="0" w:right="0" w:firstLine="576"/>
        <w:jc w:val="left"/>
      </w:pPr>
      <w:r>
        <w:rPr/>
        <w:t xml:space="preserve">(d) "Substance use disorder treatment services" means substance use disorder treatment services as described in chapter 71.24 RCW.</w:t>
      </w:r>
    </w:p>
    <w:p>
      <w:pPr>
        <w:spacing w:before="0" w:after="0" w:line="408" w:lineRule="exact"/>
        <w:ind w:left="0" w:right="0" w:firstLine="576"/>
        <w:jc w:val="left"/>
      </w:pPr>
      <w:r>
        <w:rPr/>
        <w:t xml:space="preserve">(5) This section expires January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29f3c007c22a49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3479a7c374c36" /><Relationship Type="http://schemas.openxmlformats.org/officeDocument/2006/relationships/footer" Target="/word/footer1.xml" Id="R29f3c007c22a49c9" /></Relationships>
</file>