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2074be1fb24c8f" /></Relationships>
</file>

<file path=word/document.xml><?xml version="1.0" encoding="utf-8"?>
<w:document xmlns:w="http://schemas.openxmlformats.org/wordprocessingml/2006/main">
  <w:body>
    <w:p>
      <w:r>
        <w:t>H-4218.1</w:t>
      </w:r>
    </w:p>
    <w:p>
      <w:pPr>
        <w:jc w:val="center"/>
      </w:pPr>
      <w:r>
        <w:t>_______________________________________________</w:t>
      </w:r>
    </w:p>
    <w:p/>
    <w:p>
      <w:pPr>
        <w:jc w:val="center"/>
      </w:pPr>
      <w:r>
        <w:rPr>
          <w:b/>
        </w:rPr>
        <w:t>HOUSE BILL 2924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Chambers, Gildon, Caldier, Dufault, and Eslick</w:t>
      </w:r>
    </w:p>
    <w:p/>
    <w:p>
      <w:r>
        <w:rPr>
          <w:t xml:space="preserve">Read first time 02/04/20.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shared housing; and amending RCW 43.185.050.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2018 c 223 s 4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fifty percent of the median family income for the county or standard metropolitan statistical area where the project is located. At least thirty percent of these moneys used in any given funding cycle must be for the benefit of projects located in rural areas of the state as defined by the department. </w:t>
      </w:r>
      <w:r>
        <w:rPr>
          <w:u w:val="single"/>
        </w:rPr>
        <w:t xml:space="preserve">At least five percent of these moneys used in any given funding cycle must be for the benefit of shared housing projects that increase the number of unrelated persons able to reside within a home.</w:t>
      </w:r>
      <w:r>
        <w:rPr/>
        <w:t xml:space="preserve">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w:t>
      </w:r>
    </w:p>
    <w:p>
      <w:pPr>
        <w:spacing w:before="0" w:after="0" w:line="408" w:lineRule="exact"/>
        <w:ind w:left="0" w:right="0" w:firstLine="576"/>
        <w:jc w:val="left"/>
      </w:pPr>
      <w:r>
        <w:rPr/>
        <w:t xml:space="preserve">(k) Projects making housing more accessible to families with members who have disabilities; and</w:t>
      </w:r>
    </w:p>
    <w:p>
      <w:pPr>
        <w:spacing w:before="0" w:after="0" w:line="408" w:lineRule="exact"/>
        <w:ind w:left="0" w:right="0" w:firstLine="576"/>
        <w:jc w:val="left"/>
      </w:pPr>
      <w:r>
        <w:rPr/>
        <w:t xml:space="preserve">(l) Remodeling and improvements as required to meet building code, licensing requirements, or legal operations to residential properties owned and operated by an entity eligible under RCW 43.185A.040, which were transferred as described in RCW 82.45.010(3)(t) by the parent of a child with developmental disabilities.</w:t>
      </w:r>
    </w:p>
    <w:p>
      <w:pPr>
        <w:spacing w:before="0" w:after="0" w:line="408" w:lineRule="exact"/>
        <w:ind w:left="0" w:right="0" w:firstLine="576"/>
        <w:jc w:val="left"/>
      </w:pPr>
      <w:r>
        <w:rPr/>
        <w:t xml:space="preserve">(3) Preference must be given for projects that include an early learning facility.</w:t>
      </w:r>
    </w:p>
    <w:p>
      <w:pPr>
        <w:spacing w:before="0" w:after="0" w:line="408" w:lineRule="exact"/>
        <w:ind w:left="0" w:right="0" w:firstLine="576"/>
        <w:jc w:val="left"/>
      </w:pPr>
      <w:r>
        <w:rPr/>
        <w:t xml:space="preserve">(4) Legislative appropriations from capital bond proceeds may be used only for the costs of projects authorized under subsection (2)(a), (i), and (j) of this section, and not for the administrative costs of the department.</w:t>
      </w:r>
    </w:p>
    <w:p>
      <w:pPr>
        <w:spacing w:before="0" w:after="0" w:line="408" w:lineRule="exact"/>
        <w:ind w:left="0" w:right="0" w:firstLine="576"/>
        <w:jc w:val="left"/>
      </w:pPr>
      <w:r>
        <w:rPr/>
        <w:t xml:space="preserve">(5)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(7) Administrative costs associated with compliance and monitoring activities of the department may not exceed one-quarter of one percent annually of the contracted amount of state investment in the housing assistance program.</w:t>
      </w:r>
    </w:p>
    <w:p/>
    <w:p>
      <w:pPr>
        <w:jc w:val="center"/>
      </w:pPr>
      <w:r>
        <w:rPr>
          <w:b/>
        </w:rPr>
        <w:t>--- END ---</w:t>
      </w:r>
    </w:p>
    <w:sectPr>
      <w:pgNumType w:start="1"/>
      <w:footerReference xmlns:r="http://schemas.openxmlformats.org/officeDocument/2006/relationships" r:id="Rf5b0d2f5b3cd46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dedde506564dc6" /><Relationship Type="http://schemas.openxmlformats.org/officeDocument/2006/relationships/footer" Target="/word/footer1.xml" Id="Rf5b0d2f5b3cd468d" /></Relationships>
</file>