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b18257cb374fd7" /></Relationships>
</file>

<file path=word/document.xml><?xml version="1.0" encoding="utf-8"?>
<w:document xmlns:w="http://schemas.openxmlformats.org/wordprocessingml/2006/main">
  <w:body>
    <w:p>
      <w:r>
        <w:t>H-4028.1</w:t>
      </w:r>
    </w:p>
    <w:p>
      <w:pPr>
        <w:jc w:val="center"/>
      </w:pPr>
      <w:r>
        <w:t>_______________________________________________</w:t>
      </w:r>
    </w:p>
    <w:p/>
    <w:p>
      <w:pPr>
        <w:jc w:val="center"/>
      </w:pPr>
      <w:r>
        <w:rPr>
          <w:b/>
        </w:rPr>
        <w:t>HOUSE BILL 2820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Kilduff, Davis, Goodman, and Pollet</w:t>
      </w:r>
    </w:p>
    <w:p/>
    <w:p>
      <w:r>
        <w:rPr>
          <w:t xml:space="preserve">Read first time 01/23/20.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orders involving weapons or domestic violence; amending RCW 10.99.040; and reenacting and amending RCW 9.41.800.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2019 c 245 s 1 and 2019 c 46 s 5006 are each reenacted and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26.26B.020, 26.50.060, 26.50.070, or 26.26A.470 shall, upon a showing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26.26B.020, 26.50.060, 26.50.070, or 26.26A.470 may, upon a showing by a preponderance of the evidence but not by clear and convincing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26.26A, 26.26B,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obtaining, or possessing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respondent in situations where the protected person does not know where the respondent lives or where there is evidence that the respondent is trying to evade service.</w:t>
      </w:r>
    </w:p>
    <w:p>
      <w:pPr>
        <w:spacing w:before="0" w:after="0" w:line="408" w:lineRule="exact"/>
        <w:ind w:left="0" w:right="0" w:firstLine="576"/>
        <w:jc w:val="left"/>
      </w:pPr>
      <w:r>
        <w:rPr/>
        <w:t xml:space="preserve">(8) If the court enters a protection order, restraining order, or no-contact order that includes an order to surrender firearms, dangerous weapons, and any concealed pistol license under this section, the order must be served by a law enforcement officer. </w:t>
      </w:r>
      <w:r>
        <w:rPr>
          <w:u w:val="single"/>
        </w:rPr>
        <w:t xml:space="preserve">However, if the order is entered in open court with the respondent or defendant present, it may be served by a deputy prosecuting attorney, assistant city attorney, or other person then present, and the record of service is to be made upon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2019 c 367 s 4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 and shall order the defendant to surrender, and prohibit the person from possessing, all firearms, dangerous weapons, and any concealed pistol license as required in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(3)(a)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t xml:space="preserve">(b) In issuing the order, the court shall consider all information documented in the incident report</w:t>
      </w:r>
      <w:r>
        <w:rPr>
          <w:u w:val="single"/>
        </w:rPr>
        <w:t xml:space="preserve">, declaration in support of probable cause, or other summary documentation of the police incident report</w:t>
      </w:r>
      <w:r>
        <w:rPr/>
        <w:t xml:space="preserve">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t xml:space="preserve">(c)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26.50.110.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
      <w:pPr>
        <w:jc w:val="center"/>
      </w:pPr>
      <w:r>
        <w:rPr>
          <w:b/>
        </w:rPr>
        <w:t>--- END ---</w:t>
      </w:r>
    </w:p>
    <w:sectPr>
      <w:pgNumType w:start="1"/>
      <w:footerReference xmlns:r="http://schemas.openxmlformats.org/officeDocument/2006/relationships" r:id="R4945c051fa4c4b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652f622dd64999" /><Relationship Type="http://schemas.openxmlformats.org/officeDocument/2006/relationships/footer" Target="/word/footer1.xml" Id="R4945c051fa4c4b52" /></Relationships>
</file>