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88901176cc45c5" /></Relationships>
</file>

<file path=word/document.xml><?xml version="1.0" encoding="utf-8"?>
<w:document xmlns:w="http://schemas.openxmlformats.org/wordprocessingml/2006/main">
  <w:body>
    <w:p>
      <w:r>
        <w:t>H-4402.4</w:t>
      </w:r>
    </w:p>
    <w:p>
      <w:pPr>
        <w:jc w:val="center"/>
      </w:pPr>
      <w:r>
        <w:t>_______________________________________________</w:t>
      </w:r>
    </w:p>
    <w:p/>
    <w:p>
      <w:pPr>
        <w:jc w:val="center"/>
      </w:pPr>
      <w:r>
        <w:rPr>
          <w:b/>
        </w:rPr>
        <w:t>SUBSTITUTE HOUSE BILL 2820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Civil Rights &amp; Judiciary (originally sponsored by Representatives Klippert, Kilduff, Davis, Goodman, and Pollet)</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orders involving weapons or domestic violence; amending RCW 10.99.040; and reenacting and amending RCW 9.41.800.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2019 c 245 s 1 and 2019 c 46 s 5006 are each reenacted and amended to read as follows:</w:t>
      </w:r>
    </w:p>
    <w:p>
      <w:pPr>
        <w:spacing w:before="0" w:after="0" w:line="408" w:lineRule="exact"/>
        <w:ind w:left="0" w:right="0" w:firstLine="576"/>
        <w:jc w:val="left"/>
      </w:pPr>
      <w:r>
        <w:rPr/>
        <w:t xml:space="preserve">(1) Any court when entering an order authorized under chapter 7.92 RCW, RCW 7.90.090, 9A.46.080, 10.14.080, 10.99.040, 10.99.045, 26.09.050, 26.09.060, 26.10.040, 26.10.115, 26.26B.020, 26.50.060, 26.50.070, or 26.26A.470 shall, upon a showing by clear and convincing evidence, that a party has: Used, displayed, or threatened to use a firearm or other dangerous weapon in a felony, or is ineligible to possess a firearm under the provisions of RCW 9.41.040:</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any concealed pistol license issued under RCW 9.41.070;</w:t>
      </w:r>
    </w:p>
    <w:p>
      <w:pPr>
        <w:spacing w:before="0" w:after="0" w:line="408" w:lineRule="exact"/>
        <w:ind w:left="0" w:right="0" w:firstLine="576"/>
        <w:jc w:val="left"/>
      </w:pPr>
      <w:r>
        <w:rPr/>
        <w:t xml:space="preserve">(c) Prohibit the party from accessing, obtaining, or possessing any firearms or other dangerous weapons;</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(2) Any court when entering an order authorized under chapter 7.92 RCW, RCW 7.90.090, 9A.46.080, 10.14.080, 10.99.040, 10.99.045, 26.09.050, 26.09.060, 26.10.040, 26.10.115, 26.26B.020, 26.50.060, 26.50.070, or 26.26A.470 may, upon a showing by a preponderance of the evidence but not by clear and convincing evidence, that a party has: Used, displayed, or threatened to use a firearm or other dangerous weapon in a felony, or is ineligible to possess a firearm under the provisions of RCW 9.41.040:</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 concealed pistol license issued under RCW 9.41.070;</w:t>
      </w:r>
    </w:p>
    <w:p>
      <w:pPr>
        <w:spacing w:before="0" w:after="0" w:line="408" w:lineRule="exact"/>
        <w:ind w:left="0" w:right="0" w:firstLine="576"/>
        <w:jc w:val="left"/>
      </w:pPr>
      <w:r>
        <w:rPr/>
        <w:t xml:space="preserve">(c) Prohibit the party from accessing, obtaining, or possessing any firearms or other dangerous weapons;</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(3) During any period of time that the person is subject to a court order issued under chapter 7.90, 7.92, 9A.46, 10.14, 10.99, 26.09, 26.10, 26.26A, 26.26B,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 the court shall:</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 concealed pistol license issued under RCW 9.41.070;</w:t>
      </w:r>
    </w:p>
    <w:p>
      <w:pPr>
        <w:spacing w:before="0" w:after="0" w:line="408" w:lineRule="exact"/>
        <w:ind w:left="0" w:right="0" w:firstLine="576"/>
        <w:jc w:val="left"/>
      </w:pPr>
      <w:r>
        <w:rPr/>
        <w:t xml:space="preserve">(C) Prohibit the party from accessing, obtaining, or possessing any firearms or other dangerous weapons; and</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(4) The court may order temporary surrender of all firearms and other dangerous weapons, and any concealed pistol license,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rPr/>
        <w:t xml:space="preserve">(5) In addition to the provisions of subsections (1), (2), and (4)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rPr/>
        <w:t xml:space="preserve">(6) The requirements of subsections (1), (2), and (5) of this section may be for a period of time less than the duration of the order.</w:t>
      </w:r>
    </w:p>
    <w:p>
      <w:pPr>
        <w:spacing w:before="0" w:after="0" w:line="408" w:lineRule="exact"/>
        <w:ind w:left="0" w:right="0" w:firstLine="576"/>
        <w:jc w:val="left"/>
      </w:pPr>
      <w:r>
        <w:rPr/>
        <w:t xml:space="preserve">(7) The court may require the party to surrender all firearms and other dangerous weapons in his or her immediate possession or control or subject to his or her immediate possession or control, and any concealed pistol license issued under RCW 9.41.070, to the local law enforcement agency. Law enforcement officers shall use law enforcement databases to assist in locating the respondent in situations where the protected person does not know where the respondent lives or where there is evidence that the respondent is trying to evade service.</w:t>
      </w:r>
    </w:p>
    <w:p>
      <w:pPr>
        <w:spacing w:before="0" w:after="0" w:line="408" w:lineRule="exact"/>
        <w:ind w:left="0" w:right="0" w:firstLine="576"/>
        <w:jc w:val="left"/>
      </w:pPr>
      <w:r>
        <w:rPr/>
        <w:t xml:space="preserve">(8) If the court enters a protection order, restraining order, or no-contact order that includes an order to surrender firearms, dangerous weapons, and any concealed pistol license under this section, the order must be served by a law enforcement officer. </w:t>
      </w:r>
      <w:r>
        <w:rPr>
          <w:u w:val="single"/>
        </w:rPr>
        <w:t xml:space="preserve">However, the order must be personally served upon the respondent or defendant if the order is entered in open court in the presence of the respondent or defendant. The respondent or defendant shall acknowledge receipt and service. If the respondent or defendant refuses service, an agent of the court may indicate on the record that the respondent or defendant refused service. The court shall enter the service and receipt into the record. A copy of the order and service shall be immediately transmitted to law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2019 c 367 s 4 are each amended to read as follows:</w:t>
      </w:r>
    </w:p>
    <w:p>
      <w:pPr>
        <w:spacing w:before="0" w:after="0" w:line="408" w:lineRule="exact"/>
        <w:ind w:left="0" w:right="0" w:firstLine="576"/>
        <w:jc w:val="left"/>
      </w:pPr>
      <w:r>
        <w:rPr/>
        <w:t xml:space="preserve">(1) Because of the serious nature of domestic violence, the court in domestic violence actions:</w:t>
      </w:r>
    </w:p>
    <w:p>
      <w:pPr>
        <w:spacing w:before="0" w:after="0" w:line="408" w:lineRule="exact"/>
        <w:ind w:left="0" w:right="0" w:firstLine="576"/>
        <w:jc w:val="left"/>
      </w:pPr>
      <w:r>
        <w:rPr/>
        <w:t xml:space="preserve">(a) Shall not dismiss any charge or delay disposition because of concurrent dissolution or other civil proceedings;</w:t>
      </w:r>
    </w:p>
    <w:p>
      <w:pPr>
        <w:spacing w:before="0" w:after="0" w:line="408" w:lineRule="exact"/>
        <w:ind w:left="0" w:right="0" w:firstLine="576"/>
        <w:jc w:val="left"/>
      </w:pPr>
      <w:r>
        <w:rPr/>
        <w:t xml:space="preserve">(b) Shall not require proof that either party is seeking a dissolution of marriage prior to instigation of criminal proceedings;</w:t>
      </w:r>
    </w:p>
    <w:p>
      <w:pPr>
        <w:spacing w:before="0" w:after="0" w:line="408" w:lineRule="exact"/>
        <w:ind w:left="0" w:right="0" w:firstLine="576"/>
        <w:jc w:val="left"/>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his or her client the victim's location; and</w:t>
      </w:r>
    </w:p>
    <w:p>
      <w:pPr>
        <w:spacing w:before="0" w:after="0" w:line="408" w:lineRule="exact"/>
        <w:ind w:left="0" w:right="0" w:firstLine="576"/>
        <w:jc w:val="left"/>
      </w:pPr>
      <w:r>
        <w:rPr/>
        <w:t xml:space="preserve">(d) Shall identify by any reasonable means on docket sheets those criminal actions arising from acts of domestic violence.</w:t>
      </w:r>
    </w:p>
    <w:p>
      <w:pPr>
        <w:spacing w:before="0" w:after="0" w:line="408" w:lineRule="exact"/>
        <w:ind w:left="0" w:right="0" w:firstLine="576"/>
        <w:jc w:val="left"/>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protective order prohibiting that person from having contact with the victim, the court authorizing release may issue, by telephone, a no-contact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 and shall order the defendant to surrender, and prohibit the person from possessing, all firearms, dangerous weapons, and any concealed pistol license as required in RCW 9.41.800.</w:t>
      </w:r>
    </w:p>
    <w:p>
      <w:pPr>
        <w:spacing w:before="0" w:after="0" w:line="408" w:lineRule="exact"/>
        <w:ind w:left="0" w:right="0" w:firstLine="576"/>
        <w:jc w:val="left"/>
      </w:pPr>
      <w:r>
        <w:rPr/>
        <w:t xml:space="preserve">(c) The no-contact order shall also be issued in writing as soon as possible, and shall state that it may be extended as provided in subsection (3) of this section. 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p>
    <w:p>
      <w:pPr>
        <w:spacing w:before="0" w:after="0" w:line="408" w:lineRule="exact"/>
        <w:ind w:left="0" w:right="0" w:firstLine="576"/>
        <w:jc w:val="left"/>
      </w:pPr>
      <w:r>
        <w:rPr/>
        <w:t xml:space="preserve">(3)(a) At the time of arraignment the court shall determine whether a no-contact order shall be issued or extended. So long as the court finds probable cause, the court may issue or extend a no-contact order even if the defendant fails to appear at arraignment. The no-contact order shall terminate if the defendant is acquitted or the charges are dismissed.</w:t>
      </w:r>
    </w:p>
    <w:p>
      <w:pPr>
        <w:spacing w:before="0" w:after="0" w:line="408" w:lineRule="exact"/>
        <w:ind w:left="0" w:right="0" w:firstLine="576"/>
        <w:jc w:val="left"/>
      </w:pPr>
      <w:r>
        <w:rPr/>
        <w:t xml:space="preserve">(b) In issuing the order, the court shall consider all information documented in the incident report</w:t>
      </w:r>
      <w:r>
        <w:rPr>
          <w:u w:val="single"/>
        </w:rPr>
        <w:t xml:space="preserve">, declaration in support of probable cause, or other summary documentation of the police incident report</w:t>
      </w:r>
      <w:r>
        <w:rPr/>
        <w:t xml:space="preserve"> concerning the person's possession of and access to firearms and whether law enforcement took temporary custody of firearms at the time of the arrest. The court may as a condition of release prohibit the defendant from possessing or accessing firearms and order the defendant to immediately surrender all firearms and any concealed pistol license to a law enforcement agency upon release.</w:t>
      </w:r>
    </w:p>
    <w:p>
      <w:pPr>
        <w:spacing w:before="0" w:after="0" w:line="408" w:lineRule="exact"/>
        <w:ind w:left="0" w:right="0" w:firstLine="576"/>
        <w:jc w:val="left"/>
      </w:pPr>
      <w:r>
        <w:rPr/>
        <w:t xml:space="preserve">(c) If a no-contact order is issued or extended, the court may also include in the conditions of release a requirement that the defendant submit to electronic monitoring as defined in RCW 9.94A.030.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spacing w:before="0" w:after="0" w:line="408" w:lineRule="exact"/>
        <w:ind w:left="0" w:right="0" w:firstLine="576"/>
        <w:jc w:val="left"/>
      </w:pPr>
      <w:r>
        <w:rPr/>
        <w:t xml:space="preserve">(4)(a) Willful violation of a court order issued under subsection (2), (3), or (7) of this section is punishable under RCW 26.50.110.</w:t>
      </w:r>
    </w:p>
    <w:p>
      <w:pPr>
        <w:spacing w:before="0" w:after="0" w:line="408" w:lineRule="exact"/>
        <w:ind w:left="0" w:right="0" w:firstLine="576"/>
        <w:jc w:val="left"/>
      </w:pPr>
      <w:r>
        <w:rPr/>
        <w:t xml:space="preserve">(b) The written order releasing the person charged or arrested shall contain the court's directives and shall bear the legend: "Violation of this order is a criminal offense under chapter 26.50 RCW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certified copy of the order shall be provided to the victim.</w:t>
      </w:r>
    </w:p>
    <w:p>
      <w:pPr>
        <w:spacing w:before="0" w:after="0" w:line="408" w:lineRule="exact"/>
        <w:ind w:left="0" w:right="0" w:firstLine="576"/>
        <w:jc w:val="left"/>
      </w:pPr>
      <w:r>
        <w:rPr/>
        <w:t xml:space="preserve">(5) If a no-contact order has been issued prior to charging, that order shall expire at arraignment or within seventy-two hours if charges are not filed.</w:t>
      </w:r>
    </w:p>
    <w:p>
      <w:pPr>
        <w:spacing w:before="0" w:after="0" w:line="408" w:lineRule="exact"/>
        <w:ind w:left="0" w:right="0" w:firstLine="576"/>
        <w:jc w:val="left"/>
      </w:pPr>
      <w:r>
        <w:rPr/>
        <w:t xml:space="preserve">(6) Whenever a no-contact order is issued, modified, or terminated under subsection (2) or (3)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spacing w:before="0" w:after="0" w:line="408" w:lineRule="exact"/>
        <w:ind w:left="0" w:right="0" w:firstLine="576"/>
        <w:jc w:val="left"/>
      </w:pPr>
      <w:r>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p>
    <w:p/>
    <w:p>
      <w:pPr>
        <w:jc w:val="center"/>
      </w:pPr>
      <w:r>
        <w:rPr>
          <w:b/>
        </w:rPr>
        <w:t>--- END ---</w:t>
      </w:r>
    </w:p>
    <w:sectPr>
      <w:pgNumType w:start="1"/>
      <w:footerReference xmlns:r="http://schemas.openxmlformats.org/officeDocument/2006/relationships" r:id="R07583035c74643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944a7a4b9044e7" /><Relationship Type="http://schemas.openxmlformats.org/officeDocument/2006/relationships/footer" Target="/word/footer1.xml" Id="R07583035c7464395" /></Relationships>
</file>