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32a3d7600a4a21" /></Relationships>
</file>

<file path=word/document.xml><?xml version="1.0" encoding="utf-8"?>
<w:document xmlns:w="http://schemas.openxmlformats.org/wordprocessingml/2006/main">
  <w:body>
    <w:p>
      <w:r>
        <w:t>H-3791.1</w:t>
      </w:r>
    </w:p>
    <w:p>
      <w:pPr>
        <w:jc w:val="center"/>
      </w:pPr>
      <w:r>
        <w:t>_______________________________________________</w:t>
      </w:r>
    </w:p>
    <w:p/>
    <w:p>
      <w:pPr>
        <w:jc w:val="center"/>
      </w:pPr>
      <w:r>
        <w:rPr>
          <w:b/>
        </w:rPr>
        <w:t>HOUSE BILL 2681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Stonier, Eslick, Harris, Macri, Thai, Riccelli, Sells, Robinson, Cody, Kilduff, Davis, Gregerson, Chapman, Tharinger, Ormsby, Walen, Tarleton, Ortiz-Self, Valdez, Shewmake, Lovick, Goodman, Frame, Orwall, and Pollet</w:t>
      </w:r>
    </w:p>
    <w:p/>
    <w:p>
      <w:r>
        <w:rPr>
          <w:t xml:space="preserve">Read first time 01/17/20.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harassment, abuse, and discrimination experienced by long-term care workers; adding a new chapter to Title 49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as the citizens of Washington state age and their life expectancy increases, demand for long-term care is also on the rise. Like many Americans, Washingtonians prefer to stay in their own homes and communities as they age, fueling an increased demand for home-based long-term services and supports. Nationally, the direct care workforce is expected to increase by more than one million jobs, making this one of the fastest growing occupations in the country. </w:t>
      </w:r>
    </w:p>
    <w:p>
      <w:pPr>
        <w:spacing w:before="0" w:after="0" w:line="408" w:lineRule="exact"/>
        <w:ind w:left="0" w:right="0" w:firstLine="576"/>
        <w:jc w:val="left"/>
      </w:pPr>
      <w:r>
        <w:rPr/>
        <w:t xml:space="preserve">(2) Workplace violence, including verbal and physical aggression, as well as sexual harassment, is an occupational hazard for home care workers. Studies have found as many as sixty percent of home care workers have experienced verbal aggression and as many as thirty percent have experienced sexual harassment.</w:t>
      </w:r>
    </w:p>
    <w:p>
      <w:pPr>
        <w:spacing w:before="0" w:after="0" w:line="408" w:lineRule="exact"/>
        <w:ind w:left="0" w:right="0" w:firstLine="576"/>
        <w:jc w:val="left"/>
      </w:pPr>
      <w:r>
        <w:rPr/>
        <w:t xml:space="preserve">(3) Workplace violence can lead to negative health outcomes, including depression, flashbacks, sleeplessness, traumatic stress disorder, and poorer physical health, the effects of which can last for years. This can lead to increased turnover and lower quality of care.</w:t>
      </w:r>
    </w:p>
    <w:p>
      <w:pPr>
        <w:spacing w:before="0" w:after="0" w:line="408" w:lineRule="exact"/>
        <w:ind w:left="0" w:right="0" w:firstLine="576"/>
        <w:jc w:val="left"/>
      </w:pPr>
      <w:r>
        <w:rPr/>
        <w:t xml:space="preserve">(4) About twenty-five percent of people who receive in-home long-term supports and services in Washington live with behavioral health challenges. Cognitive decline and impairments and behavioral health challenges may sometimes manifest with individuals communicating their needs in ways that if an individual caring for this person is inadequately prepared, may be experienced as harassment, abusive, or violent.</w:t>
      </w:r>
    </w:p>
    <w:p>
      <w:pPr>
        <w:spacing w:before="0" w:after="0" w:line="408" w:lineRule="exact"/>
        <w:ind w:left="0" w:right="0" w:firstLine="576"/>
        <w:jc w:val="left"/>
      </w:pPr>
      <w:r>
        <w:rPr/>
        <w:t xml:space="preserve">(5) Adequate preparation of caregivers prior to caring for individuals with behavioral health needs helps both the caregiver and person receiving care. Caregivers should be equipped with existing tools like behavioral management plans and others that look at root causes of behaviors.</w:t>
      </w:r>
    </w:p>
    <w:p>
      <w:pPr>
        <w:spacing w:before="0" w:after="0" w:line="408" w:lineRule="exact"/>
        <w:ind w:left="0" w:right="0" w:firstLine="576"/>
        <w:jc w:val="left"/>
      </w:pPr>
      <w:r>
        <w:rPr/>
        <w:t xml:space="preserve">(6) The legislature further finds that caregivers are the backbone of long-term services and supports in Washington. Therefore, the intent of this act is to reduce the instances of harassment, discrimination, and abuse experienced by caregivers, and ensure that they feel safe while providing care. This will improve the quality of care provided to Washingtonians and build a strong workforce to meet future care needs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"Abusive conduct" means conduct in a work setting that qualifies as workplace aggression, workplace violence, sexual assault, or inappropriate sexual behavior.</w:t>
      </w:r>
    </w:p>
    <w:p>
      <w:pPr>
        <w:spacing w:before="0" w:after="0" w:line="408" w:lineRule="exact"/>
        <w:ind w:left="0" w:right="0" w:firstLine="576"/>
        <w:jc w:val="left"/>
      </w:pPr>
      <w:r>
        <w:rPr/>
        <w:t xml:space="preserve">(2) "Covered employer" means:</w:t>
      </w:r>
    </w:p>
    <w:p>
      <w:pPr>
        <w:spacing w:before="0" w:after="0" w:line="408" w:lineRule="exact"/>
        <w:ind w:left="0" w:right="0" w:firstLine="576"/>
        <w:jc w:val="left"/>
      </w:pPr>
      <w:r>
        <w:rPr/>
        <w:t xml:space="preserve">(a) A consumer directed employer as defined in RCW 74.39A.009; and</w:t>
      </w:r>
    </w:p>
    <w:p>
      <w:pPr>
        <w:spacing w:before="0" w:after="0" w:line="408" w:lineRule="exact"/>
        <w:ind w:left="0" w:right="0" w:firstLine="576"/>
        <w:jc w:val="left"/>
      </w:pPr>
      <w:r>
        <w:rPr/>
        <w:t xml:space="preserve">(b) A home care agency as defined in RCW 70.127.010.</w:t>
      </w:r>
    </w:p>
    <w:p>
      <w:pPr>
        <w:spacing w:before="0" w:after="0" w:line="408" w:lineRule="exact"/>
        <w:ind w:left="0" w:right="0" w:firstLine="576"/>
        <w:jc w:val="left"/>
      </w:pPr>
      <w:r>
        <w:rPr/>
        <w:t xml:space="preserve">(3) "Department" means the department of labor and industries. </w:t>
      </w:r>
    </w:p>
    <w:p>
      <w:pPr>
        <w:spacing w:before="0" w:after="0" w:line="408" w:lineRule="exact"/>
        <w:ind w:left="0" w:right="0" w:firstLine="576"/>
        <w:jc w:val="left"/>
      </w:pPr>
      <w:r>
        <w:rPr/>
        <w:t xml:space="preserve">(4) "Discrimination" means employment discrimination prohibited by chapter 49.60 RCW, including discriminatory harassment. It shall not constitute discrimination for a recipient of personal care services as defined in RCW 74.39A.009 to refuse to hire or terminate an employment relationship with an employee based on gender preferences.</w:t>
      </w:r>
    </w:p>
    <w:p>
      <w:pPr>
        <w:spacing w:before="0" w:after="0" w:line="408" w:lineRule="exact"/>
        <w:ind w:left="0" w:right="0" w:firstLine="576"/>
        <w:jc w:val="left"/>
      </w:pPr>
      <w:r>
        <w:rPr/>
        <w:t xml:space="preserve">(5) "Discriminatory harassment" is unwelcome conduct that is based on a protected class listed in RCW 49.60.030(1) where the conduct is severe or pervasive enough to create a work environment that a reasonable person would consider intimidating, hostile, or abusive. "Discriminatory harassment" includes sexual harassment.</w:t>
      </w:r>
    </w:p>
    <w:p>
      <w:pPr>
        <w:spacing w:before="0" w:after="0" w:line="408" w:lineRule="exact"/>
        <w:ind w:left="0" w:right="0" w:firstLine="576"/>
        <w:jc w:val="left"/>
      </w:pPr>
      <w:r>
        <w:rPr/>
        <w:t xml:space="preserve">(6) "Inappropriate sexual behavior" means nonphysical acts of a sexual nature that a reasonable person would consider offensive or intimidating, such as sexual comments, unwanted requests for dates or sexual favors, or leaving sexually explicit material in view. An act may be considered inappropriate sexual behavior independent of whether the act is severe or pervasive enough to be considered sexual harassment.</w:t>
      </w:r>
    </w:p>
    <w:p>
      <w:pPr>
        <w:spacing w:before="0" w:after="0" w:line="408" w:lineRule="exact"/>
        <w:ind w:left="0" w:right="0" w:firstLine="576"/>
        <w:jc w:val="left"/>
      </w:pPr>
      <w:r>
        <w:rPr/>
        <w:t xml:space="preserve">(7) "Long-term care workers" means all persons who provide paid, hands-on personal care services for the elderly or persons with disabilities, including individual providers of home care services, direct care workers employed by home care agencies or a consumer directed employer, and providers of home care services to persons with developmental disabilities under Title 71A RCW.</w:t>
      </w:r>
    </w:p>
    <w:p>
      <w:pPr>
        <w:spacing w:before="0" w:after="0" w:line="408" w:lineRule="exact"/>
        <w:ind w:left="0" w:right="0" w:firstLine="576"/>
        <w:jc w:val="left"/>
      </w:pPr>
      <w:r>
        <w:rPr/>
        <w:t xml:space="preserve">(8) "Sexual assault" means any type of sexual contact or behavior that occurs without the explicit consent of the recipient.</w:t>
      </w:r>
    </w:p>
    <w:p>
      <w:pPr>
        <w:spacing w:before="0" w:after="0" w:line="408" w:lineRule="exact"/>
        <w:ind w:left="0" w:right="0" w:firstLine="576"/>
        <w:jc w:val="left"/>
      </w:pPr>
      <w:r>
        <w:rPr/>
        <w:t xml:space="preserve">(9) "Sexual contact" has the same meaning as in RCW 9A.44.010.</w:t>
      </w:r>
    </w:p>
    <w:p>
      <w:pPr>
        <w:spacing w:before="0" w:after="0" w:line="408" w:lineRule="exact"/>
        <w:ind w:left="0" w:right="0" w:firstLine="576"/>
        <w:jc w:val="left"/>
      </w:pPr>
      <w:r>
        <w:rPr/>
        <w:t xml:space="preserve">(10) "Sexual harassment" has the same meaning as in RCW 28A.640.020.</w:t>
      </w:r>
    </w:p>
    <w:p>
      <w:pPr>
        <w:spacing w:before="0" w:after="0" w:line="408" w:lineRule="exact"/>
        <w:ind w:left="0" w:right="0" w:firstLine="576"/>
        <w:jc w:val="left"/>
      </w:pPr>
      <w:r>
        <w:rPr/>
        <w:t xml:space="preserve">(11) "Workplace aggression" means acts of nonphysical hostility or threats of violence in the work setting, such as cornering an individual or slamming a door. "Workplace aggression" includes verbal aggression such as yelling, insulting, or belittling an individual.</w:t>
      </w:r>
    </w:p>
    <w:p>
      <w:pPr>
        <w:spacing w:before="0" w:after="0" w:line="408" w:lineRule="exact"/>
        <w:ind w:left="0" w:right="0" w:firstLine="576"/>
        <w:jc w:val="left"/>
      </w:pPr>
      <w:r>
        <w:rPr/>
        <w:t xml:space="preserve">(12) "Workplace violence," "violence," or "violent act" means the occurrence of physical assault or physically threatening behavior in a work setting, such as hitting, kicking, biting, or bumping with intentional force. "Workplace violence," "violence," and "violent act" includes physical assault or verbal threat of physical assault involving the use of a weapon or a common object used as a weapon, regardless of whether the use of a weapon resulted in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2021, each covered employer must adopt and maintain a comprehensive written policy concerning how the covered employer shall address instances of discrimination and abusive conduct. The covered employer must:</w:t>
      </w:r>
    </w:p>
    <w:p>
      <w:pPr>
        <w:spacing w:before="0" w:after="0" w:line="408" w:lineRule="exact"/>
        <w:ind w:left="0" w:right="0" w:firstLine="576"/>
        <w:jc w:val="left"/>
      </w:pPr>
      <w:r>
        <w:rPr/>
        <w:t xml:space="preserve">(a) Disseminate the comprehensive written policy to each employee at the beginning of employment, annually, and on the issuance of any substantive update to the comprehensive written policy;</w:t>
      </w:r>
    </w:p>
    <w:p>
      <w:pPr>
        <w:spacing w:before="0" w:after="0" w:line="408" w:lineRule="exact"/>
        <w:ind w:left="0" w:right="0" w:firstLine="576"/>
        <w:jc w:val="left"/>
      </w:pPr>
      <w:r>
        <w:rPr/>
        <w:t xml:space="preserve">(b) Post the comprehensive written policy in prominent locations at its place of business and in a prominent location on its web site, if applicable. The covered employer must also send a copy of the comprehensive written policy to each of its employees electronically; </w:t>
      </w:r>
    </w:p>
    <w:p>
      <w:pPr>
        <w:spacing w:before="0" w:after="0" w:line="408" w:lineRule="exact"/>
        <w:ind w:left="0" w:right="0" w:firstLine="576"/>
        <w:jc w:val="left"/>
      </w:pPr>
      <w:r>
        <w:rPr/>
        <w:t xml:space="preserve">(c) Make the policy available in plain English and in each of the three languages spoken most by its employees; </w:t>
      </w:r>
    </w:p>
    <w:p>
      <w:pPr>
        <w:spacing w:before="0" w:after="0" w:line="408" w:lineRule="exact"/>
        <w:ind w:left="0" w:right="0" w:firstLine="576"/>
        <w:jc w:val="left"/>
      </w:pPr>
      <w:r>
        <w:rPr/>
        <w:t xml:space="preserve">(d) Review and update the adopted policy annually; and</w:t>
      </w:r>
    </w:p>
    <w:p>
      <w:pPr>
        <w:spacing w:before="0" w:after="0" w:line="408" w:lineRule="exact"/>
        <w:ind w:left="0" w:right="0" w:firstLine="576"/>
        <w:jc w:val="left"/>
      </w:pPr>
      <w:r>
        <w:rPr/>
        <w:t xml:space="preserve">(e) Ensure that all employees are aware of the current policy and are properly trained on such policies. </w:t>
      </w:r>
    </w:p>
    <w:p>
      <w:pPr>
        <w:spacing w:before="0" w:after="0" w:line="408" w:lineRule="exact"/>
        <w:ind w:left="0" w:right="0" w:firstLine="576"/>
        <w:jc w:val="left"/>
      </w:pPr>
      <w:r>
        <w:rPr/>
        <w:t xml:space="preserve">(2) At a minimum, the comprehensive written policy must include:</w:t>
      </w:r>
    </w:p>
    <w:p>
      <w:pPr>
        <w:spacing w:before="0" w:after="0" w:line="408" w:lineRule="exact"/>
        <w:ind w:left="0" w:right="0" w:firstLine="576"/>
        <w:jc w:val="left"/>
      </w:pPr>
      <w:r>
        <w:rPr/>
        <w:t xml:space="preserve">(a) A definition of discrimination, harassment, and abusive conduct in employment;</w:t>
      </w:r>
    </w:p>
    <w:p>
      <w:pPr>
        <w:spacing w:before="0" w:after="0" w:line="408" w:lineRule="exact"/>
        <w:ind w:left="0" w:right="0" w:firstLine="576"/>
        <w:jc w:val="left"/>
      </w:pPr>
      <w:r>
        <w:rPr/>
        <w:t xml:space="preserve">(b) A description of the types of behaviors prohibited by the policy, with examples relevant to the long-term care workforce;</w:t>
      </w:r>
    </w:p>
    <w:p>
      <w:pPr>
        <w:spacing w:before="0" w:after="0" w:line="408" w:lineRule="exact"/>
        <w:ind w:left="0" w:right="0" w:firstLine="576"/>
        <w:jc w:val="left"/>
      </w:pPr>
      <w:r>
        <w:rPr/>
        <w:t xml:space="preserve">(c) The identification of multiple persons to whom an employee may report discrimination and abusive conduct; </w:t>
      </w:r>
    </w:p>
    <w:p>
      <w:pPr>
        <w:spacing w:before="0" w:after="0" w:line="408" w:lineRule="exact"/>
        <w:ind w:left="0" w:right="0" w:firstLine="576"/>
        <w:jc w:val="left"/>
      </w:pPr>
      <w:r>
        <w:rPr/>
        <w:t xml:space="preserve">(d) A description of multiple methods for reporting discrimination and abusive conduct;</w:t>
      </w:r>
    </w:p>
    <w:p>
      <w:pPr>
        <w:spacing w:before="0" w:after="0" w:line="408" w:lineRule="exact"/>
        <w:ind w:left="0" w:right="0" w:firstLine="576"/>
        <w:jc w:val="left"/>
      </w:pPr>
      <w:r>
        <w:rPr/>
        <w:t xml:space="preserve">(e) Stated permission and a process for allowing workers to leave situations where they feel their safety is at immediate risk. This process must include a requirement to notify the employer and applicable third parties such as department of social and health services case managers, emergency services, or client decisionmakers as soon as possible; </w:t>
      </w:r>
    </w:p>
    <w:p>
      <w:pPr>
        <w:spacing w:before="0" w:after="0" w:line="408" w:lineRule="exact"/>
        <w:ind w:left="0" w:right="0" w:firstLine="576"/>
        <w:jc w:val="left"/>
      </w:pPr>
      <w:r>
        <w:rPr/>
        <w:t xml:space="preserve">(f) A stated prohibition against retaliation for actions related to disclosing, reporting, testifying, assisting in an investigation, or challenging discrimination or abusive conduct and a description of how the employer will protect employees against retaliatory behavior; </w:t>
      </w:r>
    </w:p>
    <w:p>
      <w:pPr>
        <w:spacing w:before="0" w:after="0" w:line="408" w:lineRule="exact"/>
        <w:ind w:left="0" w:right="0" w:firstLine="576"/>
        <w:jc w:val="left"/>
      </w:pPr>
      <w:r>
        <w:rPr/>
        <w:t xml:space="preserve">(g) A list of resources for long-term care workers to utilize. At a minimum, the resources must include contact information of the equal employment opportunity commission, the Washington state human rights commission, and local advocacy groups focused on preventing harassment and discrimination; and</w:t>
      </w:r>
    </w:p>
    <w:p>
      <w:pPr>
        <w:spacing w:before="0" w:after="0" w:line="408" w:lineRule="exact"/>
        <w:ind w:left="0" w:right="0" w:firstLine="576"/>
        <w:jc w:val="left"/>
      </w:pPr>
      <w:r>
        <w:rPr/>
        <w:t xml:space="preserve">(h) Any additional components recommended by the work group established in section 7 of this act for the purpose of preventing discrimination and abusive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2021, and every three years thereafter, each covered employer shall implement a plan to prevent and protect employees from violence. The plan shall be developed and monitored by a workplace violence committee. The members of the workplace violence committee shall consist of individuals that are employee-elected, employer-selected, and include at least one client representative. The number of employee-elected members shall equal or exceed the number of employer-selected members. </w:t>
      </w:r>
    </w:p>
    <w:p>
      <w:pPr>
        <w:spacing w:before="0" w:after="0" w:line="408" w:lineRule="exact"/>
        <w:ind w:left="0" w:right="0" w:firstLine="576"/>
        <w:jc w:val="left"/>
      </w:pPr>
      <w:r>
        <w:rPr/>
        <w:t xml:space="preserve">(2) The plan developed under subsection (1) of this section must outline strategies to address security considerations and factors that contribute to, or prevent, violence and abusive conduct, and may include:</w:t>
      </w:r>
    </w:p>
    <w:p>
      <w:pPr>
        <w:spacing w:before="0" w:after="0" w:line="408" w:lineRule="exact"/>
        <w:ind w:left="0" w:right="0" w:firstLine="576"/>
        <w:jc w:val="left"/>
      </w:pPr>
      <w:r>
        <w:rPr/>
        <w:t xml:space="preserve">(a) Emergency response processes and procedures, including information on providing first aid and available security personnel;</w:t>
      </w:r>
    </w:p>
    <w:p>
      <w:pPr>
        <w:spacing w:before="0" w:after="0" w:line="408" w:lineRule="exact"/>
        <w:ind w:left="0" w:right="0" w:firstLine="576"/>
        <w:jc w:val="left"/>
      </w:pPr>
      <w:r>
        <w:rPr/>
        <w:t xml:space="preserve">(b) Processes for reporting violent acts and abusive conduct;</w:t>
      </w:r>
    </w:p>
    <w:p>
      <w:pPr>
        <w:spacing w:before="0" w:after="0" w:line="408" w:lineRule="exact"/>
        <w:ind w:left="0" w:right="0" w:firstLine="576"/>
        <w:jc w:val="left"/>
      </w:pPr>
      <w:r>
        <w:rPr/>
        <w:t xml:space="preserve">(c) Processes for identifying and responding to the root cause of a client's conduct when an employee has reason to believe that the conduct is due to a client's condition;</w:t>
      </w:r>
    </w:p>
    <w:p>
      <w:pPr>
        <w:spacing w:before="0" w:after="0" w:line="408" w:lineRule="exact"/>
        <w:ind w:left="0" w:right="0" w:firstLine="576"/>
        <w:jc w:val="left"/>
      </w:pPr>
      <w:r>
        <w:rPr/>
        <w:t xml:space="preserve">(d) The development of employee education and training requirements related to the prevention of, and response to, violent and abusive conduct, including de-escalation procedures and information on identifying environmental risk factors. The employee education and training requirements must be based on the recommendations of the work group established in section 7 of this act; and</w:t>
      </w:r>
    </w:p>
    <w:p>
      <w:pPr>
        <w:spacing w:before="0" w:after="0" w:line="408" w:lineRule="exact"/>
        <w:ind w:left="0" w:right="0" w:firstLine="576"/>
        <w:jc w:val="left"/>
      </w:pPr>
      <w:r>
        <w:rPr/>
        <w:t xml:space="preserve">(e) The development of processes for intervening and providing assistance to an employee directly affected by a violent act.</w:t>
      </w:r>
    </w:p>
    <w:p>
      <w:pPr>
        <w:spacing w:before="0" w:after="0" w:line="408" w:lineRule="exact"/>
        <w:ind w:left="0" w:right="0" w:firstLine="576"/>
        <w:jc w:val="left"/>
      </w:pPr>
      <w:r>
        <w:rPr/>
        <w:t xml:space="preserve">(3) Each covered employer and workplace violence committee must annually review the frequency of incidents of workplace violence and abusive conduct in the home care setting, including identification of the causes for, and consequences of, violent acts and any emerging issues that contribute to violence and abusive conduct. The covered employer must adjust the plan developed under subsection (1) of this section as necessary based on this annual review.</w:t>
      </w:r>
    </w:p>
    <w:p>
      <w:pPr>
        <w:spacing w:before="0" w:after="0" w:line="408" w:lineRule="exact"/>
        <w:ind w:left="0" w:right="0" w:firstLine="576"/>
        <w:jc w:val="left"/>
      </w:pPr>
      <w:r>
        <w:rPr/>
        <w:t xml:space="preserve">(4) In developing the plan required by subsection (1) of this section, the covered employer shall consider any guidelines on violence in the workplace or in health care settings issued by the department of health, the department of social and health services, the department of labor and industries, the federal occupational safety and health administration, and the work group created in section 7 of this act.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employers must inform an employee of instances of known discrimination and abusive conduct occurring in or around the client's home prior to assigning the employee to that client and throughout the duration of service.</w:t>
      </w:r>
    </w:p>
    <w:p>
      <w:pPr>
        <w:spacing w:before="0" w:after="0" w:line="408" w:lineRule="exact"/>
        <w:ind w:left="0" w:right="0" w:firstLine="576"/>
        <w:jc w:val="left"/>
      </w:pPr>
      <w:r>
        <w:rPr/>
        <w:t xml:space="preserve">(2) Covered employers must inform an employee if the employer has reason to believe that discriminatory or abusive conduct may occur in or around the client's home, prior to assigning the employee to that client and throughout the duration of service. </w:t>
      </w:r>
    </w:p>
    <w:p>
      <w:pPr>
        <w:spacing w:before="0" w:after="0" w:line="408" w:lineRule="exact"/>
        <w:ind w:left="0" w:right="0" w:firstLine="576"/>
        <w:jc w:val="left"/>
      </w:pPr>
      <w:r>
        <w:rPr/>
        <w:t xml:space="preserve">(3) Communication of the information in subsections (1) and (2) of this section must be tailored to respect the privacy of clients in accordance with the federal health insurance portability and accountability act of 1996.</w:t>
      </w:r>
    </w:p>
    <w:p>
      <w:pPr>
        <w:spacing w:before="0" w:after="0" w:line="408" w:lineRule="exact"/>
        <w:ind w:left="0" w:right="0" w:firstLine="576"/>
        <w:jc w:val="left"/>
      </w:pPr>
      <w:r>
        <w:rPr/>
        <w:t xml:space="preserve">(4) A covered employer may not terminate an employee, reduce the pay of an employee, or not offer future assignments to an employee for requesting reassignment due to alleged discrimination or abusive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employers are required to keep a record of any reported incidents of discrimination or abusive conduct experienced by an employee during the provision of paid personal care services. The records must be kept for at least five years following the reported act and must be made available for inspection by the department upon request. </w:t>
      </w:r>
    </w:p>
    <w:p>
      <w:pPr>
        <w:spacing w:before="0" w:after="0" w:line="408" w:lineRule="exact"/>
        <w:ind w:left="0" w:right="0" w:firstLine="576"/>
        <w:jc w:val="left"/>
      </w:pPr>
      <w:r>
        <w:rPr/>
        <w:t xml:space="preserve">(2) The retained records must include:</w:t>
      </w:r>
    </w:p>
    <w:p>
      <w:pPr>
        <w:spacing w:before="0" w:after="0" w:line="408" w:lineRule="exact"/>
        <w:ind w:left="0" w:right="0" w:firstLine="576"/>
        <w:jc w:val="left"/>
      </w:pPr>
      <w:r>
        <w:rPr/>
        <w:t xml:space="preserve">(a) The covered employer's name and address;</w:t>
      </w:r>
    </w:p>
    <w:p>
      <w:pPr>
        <w:spacing w:before="0" w:after="0" w:line="408" w:lineRule="exact"/>
        <w:ind w:left="0" w:right="0" w:firstLine="576"/>
        <w:jc w:val="left"/>
      </w:pPr>
      <w:r>
        <w:rPr/>
        <w:t xml:space="preserve">(b) The date, time, and location of where the act occurred;</w:t>
      </w:r>
    </w:p>
    <w:p>
      <w:pPr>
        <w:spacing w:before="0" w:after="0" w:line="408" w:lineRule="exact"/>
        <w:ind w:left="0" w:right="0" w:firstLine="576"/>
        <w:jc w:val="left"/>
      </w:pPr>
      <w:r>
        <w:rPr/>
        <w:t xml:space="preserve">(c) The reporting method;</w:t>
      </w:r>
    </w:p>
    <w:p>
      <w:pPr>
        <w:spacing w:before="0" w:after="0" w:line="408" w:lineRule="exact"/>
        <w:ind w:left="0" w:right="0" w:firstLine="576"/>
        <w:jc w:val="left"/>
      </w:pPr>
      <w:r>
        <w:rPr/>
        <w:t xml:space="preserve">(d) The name of the person who experienced the act; </w:t>
      </w:r>
    </w:p>
    <w:p>
      <w:pPr>
        <w:spacing w:before="0" w:after="0" w:line="408" w:lineRule="exact"/>
        <w:ind w:left="0" w:right="0" w:firstLine="576"/>
        <w:jc w:val="left"/>
      </w:pPr>
      <w:r>
        <w:rPr/>
        <w:t xml:space="preserve">(e) A description of the person committing the act as:</w:t>
      </w:r>
    </w:p>
    <w:p>
      <w:pPr>
        <w:spacing w:before="0" w:after="0" w:line="408" w:lineRule="exact"/>
        <w:ind w:left="0" w:right="0" w:firstLine="576"/>
        <w:jc w:val="left"/>
      </w:pPr>
      <w:r>
        <w:rPr/>
        <w:t xml:space="preserve">(i) A client;</w:t>
      </w:r>
    </w:p>
    <w:p>
      <w:pPr>
        <w:spacing w:before="0" w:after="0" w:line="408" w:lineRule="exact"/>
        <w:ind w:left="0" w:right="0" w:firstLine="576"/>
        <w:jc w:val="left"/>
      </w:pPr>
      <w:r>
        <w:rPr/>
        <w:t xml:space="preserve">(ii) Another resident of the home care setting;</w:t>
      </w:r>
    </w:p>
    <w:p>
      <w:pPr>
        <w:spacing w:before="0" w:after="0" w:line="408" w:lineRule="exact"/>
        <w:ind w:left="0" w:right="0" w:firstLine="576"/>
        <w:jc w:val="left"/>
      </w:pPr>
      <w:r>
        <w:rPr/>
        <w:t xml:space="preserve">(iii) A visitor to the home care setting;</w:t>
      </w:r>
    </w:p>
    <w:p>
      <w:pPr>
        <w:spacing w:before="0" w:after="0" w:line="408" w:lineRule="exact"/>
        <w:ind w:left="0" w:right="0" w:firstLine="576"/>
        <w:jc w:val="left"/>
      </w:pPr>
      <w:r>
        <w:rPr/>
        <w:t xml:space="preserve">(iv) Another employee;</w:t>
      </w:r>
    </w:p>
    <w:p>
      <w:pPr>
        <w:spacing w:before="0" w:after="0" w:line="408" w:lineRule="exact"/>
        <w:ind w:left="0" w:right="0" w:firstLine="576"/>
        <w:jc w:val="left"/>
      </w:pPr>
      <w:r>
        <w:rPr/>
        <w:t xml:space="preserve">(v) A manager or supervisor; or</w:t>
      </w:r>
    </w:p>
    <w:p>
      <w:pPr>
        <w:spacing w:before="0" w:after="0" w:line="408" w:lineRule="exact"/>
        <w:ind w:left="0" w:right="0" w:firstLine="576"/>
        <w:jc w:val="left"/>
      </w:pPr>
      <w:r>
        <w:rPr/>
        <w:t xml:space="preserve">(vi) Other; </w:t>
      </w:r>
    </w:p>
    <w:p>
      <w:pPr>
        <w:spacing w:before="0" w:after="0" w:line="408" w:lineRule="exact"/>
        <w:ind w:left="0" w:right="0" w:firstLine="576"/>
        <w:jc w:val="left"/>
      </w:pPr>
      <w:r>
        <w:rPr/>
        <w:t xml:space="preserve">(f) A description of the type of act as:</w:t>
      </w:r>
    </w:p>
    <w:p>
      <w:pPr>
        <w:spacing w:before="0" w:after="0" w:line="408" w:lineRule="exact"/>
        <w:ind w:left="0" w:right="0" w:firstLine="576"/>
        <w:jc w:val="left"/>
      </w:pPr>
      <w:r>
        <w:rPr/>
        <w:t xml:space="preserve">(i) Discrimination, including harassment and sexual harassment;</w:t>
      </w:r>
    </w:p>
    <w:p>
      <w:pPr>
        <w:spacing w:before="0" w:after="0" w:line="408" w:lineRule="exact"/>
        <w:ind w:left="0" w:right="0" w:firstLine="576"/>
        <w:jc w:val="left"/>
      </w:pPr>
      <w:r>
        <w:rPr/>
        <w:t xml:space="preserve">(ii) Verbal aggression;</w:t>
      </w:r>
    </w:p>
    <w:p>
      <w:pPr>
        <w:spacing w:before="0" w:after="0" w:line="408" w:lineRule="exact"/>
        <w:ind w:left="0" w:right="0" w:firstLine="576"/>
        <w:jc w:val="left"/>
      </w:pPr>
      <w:r>
        <w:rPr/>
        <w:t xml:space="preserve">(iii) Physical aggression without assault;</w:t>
      </w:r>
    </w:p>
    <w:p>
      <w:pPr>
        <w:spacing w:before="0" w:after="0" w:line="408" w:lineRule="exact"/>
        <w:ind w:left="0" w:right="0" w:firstLine="576"/>
        <w:jc w:val="left"/>
      </w:pPr>
      <w:r>
        <w:rPr/>
        <w:t xml:space="preserve">(iv) Physical assault; or</w:t>
      </w:r>
    </w:p>
    <w:p>
      <w:pPr>
        <w:spacing w:before="0" w:after="0" w:line="408" w:lineRule="exact"/>
        <w:ind w:left="0" w:right="0" w:firstLine="576"/>
        <w:jc w:val="left"/>
      </w:pPr>
      <w:r>
        <w:rPr/>
        <w:t xml:space="preserve">(v) Sexual assault;</w:t>
      </w:r>
    </w:p>
    <w:p>
      <w:pPr>
        <w:spacing w:before="0" w:after="0" w:line="408" w:lineRule="exact"/>
        <w:ind w:left="0" w:right="0" w:firstLine="576"/>
        <w:jc w:val="left"/>
      </w:pPr>
      <w:r>
        <w:rPr/>
        <w:t xml:space="preserve">(g) A description of the actions taken by the employee and the covered employer in response to the act; and</w:t>
      </w:r>
    </w:p>
    <w:p>
      <w:pPr>
        <w:spacing w:before="0" w:after="0" w:line="408" w:lineRule="exact"/>
        <w:ind w:left="0" w:right="0" w:firstLine="576"/>
        <w:jc w:val="left"/>
      </w:pPr>
      <w:r>
        <w:rPr/>
        <w:t xml:space="preserve">(h) A description of how the incident was resolved. </w:t>
      </w:r>
    </w:p>
    <w:p>
      <w:pPr>
        <w:spacing w:before="0" w:after="0" w:line="408" w:lineRule="exact"/>
        <w:ind w:left="0" w:right="0" w:firstLine="576"/>
        <w:jc w:val="left"/>
      </w:pPr>
      <w:r>
        <w:rPr/>
        <w:t xml:space="preserve">(3) Covered employers are required to submit the following aggregate data to the department annually and the department must make the data available to the public upon request:</w:t>
      </w:r>
    </w:p>
    <w:p>
      <w:pPr>
        <w:spacing w:before="0" w:after="0" w:line="408" w:lineRule="exact"/>
        <w:ind w:left="0" w:right="0" w:firstLine="576"/>
        <w:jc w:val="left"/>
      </w:pPr>
      <w:r>
        <w:rPr/>
        <w:t xml:space="preserve">(a) The number of reported incidents of discrimination and abusive conduct by category and type;</w:t>
      </w:r>
    </w:p>
    <w:p>
      <w:pPr>
        <w:spacing w:before="0" w:after="0" w:line="408" w:lineRule="exact"/>
        <w:ind w:left="0" w:right="0" w:firstLine="576"/>
        <w:jc w:val="left"/>
      </w:pPr>
      <w:r>
        <w:rPr/>
        <w:t xml:space="preserve">(b) The number of investigations related to discrimination and abusive conduct initiated; </w:t>
      </w:r>
    </w:p>
    <w:p>
      <w:pPr>
        <w:spacing w:before="0" w:after="0" w:line="408" w:lineRule="exact"/>
        <w:ind w:left="0" w:right="0" w:firstLine="576"/>
        <w:jc w:val="left"/>
      </w:pPr>
      <w:r>
        <w:rPr/>
        <w:t xml:space="preserve">(c) The number of concluded investigations that were initiated in (b) of this subsection; </w:t>
      </w:r>
    </w:p>
    <w:p>
      <w:pPr>
        <w:spacing w:before="0" w:after="0" w:line="408" w:lineRule="exact"/>
        <w:ind w:left="0" w:right="0" w:firstLine="576"/>
        <w:jc w:val="left"/>
      </w:pPr>
      <w:r>
        <w:rPr/>
        <w:t xml:space="preserve">(d) The resolution of complaints by type of resolution;</w:t>
      </w:r>
    </w:p>
    <w:p>
      <w:pPr>
        <w:spacing w:before="0" w:after="0" w:line="408" w:lineRule="exact"/>
        <w:ind w:left="0" w:right="0" w:firstLine="576"/>
        <w:jc w:val="left"/>
      </w:pPr>
      <w:r>
        <w:rPr/>
        <w:t xml:space="preserve">(e) The date the policy required by section 3 of this act was most recently updated; </w:t>
      </w:r>
    </w:p>
    <w:p>
      <w:pPr>
        <w:spacing w:before="0" w:after="0" w:line="408" w:lineRule="exact"/>
        <w:ind w:left="0" w:right="0" w:firstLine="576"/>
        <w:jc w:val="left"/>
      </w:pPr>
      <w:r>
        <w:rPr/>
        <w:t xml:space="preserve">(f) The date the prevention plan required by section 4 of this act was most recently updated.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must convene a stakeholder work group to recommend best practices for training employers, long-term care workers, and clients to keep home care settings free from discrimination and abusive conduct while maintaining the ability for individuals who need services to access needed services or while maintaining the ability to provide services. </w:t>
      </w:r>
    </w:p>
    <w:p>
      <w:pPr>
        <w:spacing w:before="0" w:after="0" w:line="408" w:lineRule="exact"/>
        <w:ind w:left="0" w:right="0" w:firstLine="576"/>
        <w:jc w:val="left"/>
      </w:pPr>
      <w:r>
        <w:rPr/>
        <w:t xml:space="preserve">(2) To the extent practicable, the following groups should be represented in the work group, each group may have up to two representatives:</w:t>
      </w:r>
    </w:p>
    <w:p>
      <w:pPr>
        <w:spacing w:before="0" w:after="0" w:line="408" w:lineRule="exact"/>
        <w:ind w:left="0" w:right="0" w:firstLine="576"/>
        <w:jc w:val="left"/>
      </w:pPr>
      <w:r>
        <w:rPr/>
        <w:t xml:space="preserve">(a) The department of social and health services;</w:t>
      </w:r>
    </w:p>
    <w:p>
      <w:pPr>
        <w:spacing w:before="0" w:after="0" w:line="408" w:lineRule="exact"/>
        <w:ind w:left="0" w:right="0" w:firstLine="576"/>
        <w:jc w:val="left"/>
      </w:pPr>
      <w:r>
        <w:rPr/>
        <w:t xml:space="preserve">(b) The department;</w:t>
      </w:r>
    </w:p>
    <w:p>
      <w:pPr>
        <w:spacing w:before="0" w:after="0" w:line="408" w:lineRule="exact"/>
        <w:ind w:left="0" w:right="0" w:firstLine="576"/>
        <w:jc w:val="left"/>
      </w:pPr>
      <w:r>
        <w:rPr/>
        <w:t xml:space="preserve">(c) The Washington state human rights commission; </w:t>
      </w:r>
    </w:p>
    <w:p>
      <w:pPr>
        <w:spacing w:before="0" w:after="0" w:line="408" w:lineRule="exact"/>
        <w:ind w:left="0" w:right="0" w:firstLine="576"/>
        <w:jc w:val="left"/>
      </w:pPr>
      <w:r>
        <w:rPr/>
        <w:t xml:space="preserve">(d) Covered employers;</w:t>
      </w:r>
    </w:p>
    <w:p>
      <w:pPr>
        <w:spacing w:before="0" w:after="0" w:line="408" w:lineRule="exact"/>
        <w:ind w:left="0" w:right="0" w:firstLine="576"/>
        <w:jc w:val="left"/>
      </w:pPr>
      <w:r>
        <w:rPr/>
        <w:t xml:space="preserve">(e) Labor organizations representing long-term care workers;</w:t>
      </w:r>
    </w:p>
    <w:p>
      <w:pPr>
        <w:spacing w:before="0" w:after="0" w:line="408" w:lineRule="exact"/>
        <w:ind w:left="0" w:right="0" w:firstLine="576"/>
        <w:jc w:val="left"/>
      </w:pPr>
      <w:r>
        <w:rPr/>
        <w:t xml:space="preserve">(f) Organizations with experience training long-term care workers;</w:t>
      </w:r>
    </w:p>
    <w:p>
      <w:pPr>
        <w:spacing w:before="0" w:after="0" w:line="408" w:lineRule="exact"/>
        <w:ind w:left="0" w:right="0" w:firstLine="576"/>
        <w:jc w:val="left"/>
      </w:pPr>
      <w:r>
        <w:rPr/>
        <w:t xml:space="preserve">(g) The self-advocacy community; and</w:t>
      </w:r>
    </w:p>
    <w:p>
      <w:pPr>
        <w:spacing w:before="0" w:after="0" w:line="408" w:lineRule="exact"/>
        <w:ind w:left="0" w:right="0" w:firstLine="576"/>
        <w:jc w:val="left"/>
      </w:pPr>
      <w:r>
        <w:rPr/>
        <w:t xml:space="preserve">(h) Subject matter experts determined to be necessary by the department. </w:t>
      </w:r>
    </w:p>
    <w:p>
      <w:pPr>
        <w:spacing w:before="0" w:after="0" w:line="408" w:lineRule="exact"/>
        <w:ind w:left="0" w:right="0" w:firstLine="576"/>
        <w:jc w:val="left"/>
      </w:pPr>
      <w:r>
        <w:rPr/>
        <w:t xml:space="preserve">(3) In developing the training, the work group may consider:</w:t>
      </w:r>
    </w:p>
    <w:p>
      <w:pPr>
        <w:spacing w:before="0" w:after="0" w:line="408" w:lineRule="exact"/>
        <w:ind w:left="0" w:right="0" w:firstLine="576"/>
        <w:jc w:val="left"/>
      </w:pPr>
      <w:r>
        <w:rPr/>
        <w:t xml:space="preserve">(a) Using new employee orientation to emphasize the prevention of discrimination and abusive conduct;</w:t>
      </w:r>
    </w:p>
    <w:p>
      <w:pPr>
        <w:spacing w:before="0" w:after="0" w:line="408" w:lineRule="exact"/>
        <w:ind w:left="0" w:right="0" w:firstLine="576"/>
        <w:jc w:val="left"/>
      </w:pPr>
      <w:r>
        <w:rPr/>
        <w:t xml:space="preserve">(b) Requiring training for all employees in a classroom environment; </w:t>
      </w:r>
    </w:p>
    <w:p>
      <w:pPr>
        <w:spacing w:before="0" w:after="0" w:line="408" w:lineRule="exact"/>
        <w:ind w:left="0" w:right="0" w:firstLine="576"/>
        <w:jc w:val="left"/>
      </w:pPr>
      <w:r>
        <w:rPr/>
        <w:t xml:space="preserve">(c) Interactive teaching strategies that engage across multiple literacy levels;</w:t>
      </w:r>
    </w:p>
    <w:p>
      <w:pPr>
        <w:spacing w:before="0" w:after="0" w:line="408" w:lineRule="exact"/>
        <w:ind w:left="0" w:right="0" w:firstLine="576"/>
        <w:jc w:val="left"/>
      </w:pPr>
      <w:r>
        <w:rPr/>
        <w:t xml:space="preserve">(d) Behaviors and factors that are predictive of harassment and violence;</w:t>
      </w:r>
    </w:p>
    <w:p>
      <w:pPr>
        <w:spacing w:before="0" w:after="0" w:line="408" w:lineRule="exact"/>
        <w:ind w:left="0" w:right="0" w:firstLine="576"/>
        <w:jc w:val="left"/>
      </w:pPr>
      <w:r>
        <w:rPr/>
        <w:t xml:space="preserve">(e) The violence escalation cycle;</w:t>
      </w:r>
    </w:p>
    <w:p>
      <w:pPr>
        <w:spacing w:before="0" w:after="0" w:line="408" w:lineRule="exact"/>
        <w:ind w:left="0" w:right="0" w:firstLine="576"/>
        <w:jc w:val="left"/>
      </w:pPr>
      <w:r>
        <w:rPr/>
        <w:t xml:space="preserve">(f) De-escalation techniques to minimize violent behavior;</w:t>
      </w:r>
    </w:p>
    <w:p>
      <w:pPr>
        <w:spacing w:before="0" w:after="0" w:line="408" w:lineRule="exact"/>
        <w:ind w:left="0" w:right="0" w:firstLine="576"/>
        <w:jc w:val="left"/>
      </w:pPr>
      <w:r>
        <w:rPr/>
        <w:t xml:space="preserve">(g) Strategies to prevent physical harm with hands-on practice or role play;</w:t>
      </w:r>
    </w:p>
    <w:p>
      <w:pPr>
        <w:spacing w:before="0" w:after="0" w:line="408" w:lineRule="exact"/>
        <w:ind w:left="0" w:right="0" w:firstLine="576"/>
        <w:jc w:val="left"/>
      </w:pPr>
      <w:r>
        <w:rPr/>
        <w:t xml:space="preserve">(h) Documenting and reporting incidents;</w:t>
      </w:r>
    </w:p>
    <w:p>
      <w:pPr>
        <w:spacing w:before="0" w:after="0" w:line="408" w:lineRule="exact"/>
        <w:ind w:left="0" w:right="0" w:firstLine="576"/>
        <w:jc w:val="left"/>
      </w:pPr>
      <w:r>
        <w:rPr/>
        <w:t xml:space="preserve">(i) The debriefing process for affected employees following violent acts; </w:t>
      </w:r>
    </w:p>
    <w:p>
      <w:pPr>
        <w:spacing w:before="0" w:after="0" w:line="408" w:lineRule="exact"/>
        <w:ind w:left="0" w:right="0" w:firstLine="576"/>
        <w:jc w:val="left"/>
      </w:pPr>
      <w:r>
        <w:rPr/>
        <w:t xml:space="preserve">(j) Resources available to employees for coping with the effects of violence; and</w:t>
      </w:r>
    </w:p>
    <w:p>
      <w:pPr>
        <w:spacing w:before="0" w:after="0" w:line="408" w:lineRule="exact"/>
        <w:ind w:left="0" w:right="0" w:firstLine="576"/>
        <w:jc w:val="left"/>
      </w:pPr>
      <w:r>
        <w:rPr/>
        <w:t xml:space="preserve">(k) Other best practices from trainings developed in other states or for other industries to prevent discrimination and abusive conduct in home care settings or the workplace. </w:t>
      </w:r>
    </w:p>
    <w:p>
      <w:pPr>
        <w:spacing w:before="0" w:after="0" w:line="408" w:lineRule="exact"/>
        <w:ind w:left="0" w:right="0" w:firstLine="576"/>
        <w:jc w:val="left"/>
      </w:pPr>
      <w:r>
        <w:rPr/>
        <w:t xml:space="preserve">(4) By December 1, 2020, the work group must submit to the legislature a report with recommendations for training long-term care workers, agency supervisors, and clients. The recommendations must include:</w:t>
      </w:r>
    </w:p>
    <w:p>
      <w:pPr>
        <w:spacing w:before="0" w:after="0" w:line="408" w:lineRule="exact"/>
        <w:ind w:left="0" w:right="0" w:firstLine="576"/>
        <w:jc w:val="left"/>
      </w:pPr>
      <w:r>
        <w:rPr/>
        <w:t xml:space="preserve">(a) Minimum training requirements for workers, supervisors, and clients;</w:t>
      </w:r>
    </w:p>
    <w:p>
      <w:pPr>
        <w:spacing w:before="0" w:after="0" w:line="408" w:lineRule="exact"/>
        <w:ind w:left="0" w:right="0" w:firstLine="576"/>
        <w:jc w:val="left"/>
      </w:pPr>
      <w:r>
        <w:rPr/>
        <w:t xml:space="preserve">(b) Recommended training modalities for workers, supervisors, and clients; and</w:t>
      </w:r>
    </w:p>
    <w:p>
      <w:pPr>
        <w:spacing w:before="0" w:after="0" w:line="408" w:lineRule="exact"/>
        <w:ind w:left="0" w:right="0" w:firstLine="576"/>
        <w:jc w:val="left"/>
      </w:pPr>
      <w:r>
        <w:rPr/>
        <w:t xml:space="preserve">(c) Criteria for qualified long-term care worker training organizations.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of the department may assess a civil penalty in an amount not to exceed five thousand dollars for each instance a covered employer fails to meet the requirements of sections 3 through 7 of this act. The department must deposit civil penalties assessed under this act in the supplemental pension fund established under RCW 51.44.033. </w:t>
      </w:r>
    </w:p>
    <w:p>
      <w:pPr>
        <w:spacing w:before="0" w:after="0" w:line="408" w:lineRule="exact"/>
        <w:ind w:left="0" w:right="0" w:firstLine="576"/>
        <w:jc w:val="left"/>
      </w:pPr>
      <w:r>
        <w:rPr/>
        <w:t xml:space="preserve">(2) The civil penalties assessed shall cover the department's administrative costs for enforcing the requirements of sections 3 through 7 of this act. In the event the funds from civil penalties exceed the department's cost for enforcement, the department shall utilize the excess funds to grant money to community organizations that will assist the department with enforcement. The department may work with stakeholders to develop the community enforcement grant program.</w:t>
      </w:r>
    </w:p>
    <w:p>
      <w:pPr>
        <w:spacing w:before="0" w:after="0" w:line="408" w:lineRule="exact"/>
        <w:ind w:left="0" w:right="0" w:firstLine="576"/>
        <w:jc w:val="left"/>
      </w:pPr>
      <w:r>
        <w:rPr/>
        <w:t xml:space="preserve">(3) A covered employer's failure to meet the requirements of this chapter shall be evidence of a breach of duty of care. </w:t>
      </w:r>
    </w:p>
    <w:p>
      <w:pPr>
        <w:spacing w:before="0" w:after="0" w:line="408" w:lineRule="exact"/>
        <w:ind w:left="0" w:right="0" w:firstLine="576"/>
        <w:jc w:val="left"/>
      </w:pPr>
      <w:r>
        <w:rPr/>
        <w:t xml:space="preserve">(4) The department may conduct investigations to ensure compliance with this chapter when information is obtained that a covered employer may be committing a violation under this chapter. This information includes, but is not limited to, complaints from employees, and the data that is required by section 6 of this act to be submitted to the department by covered employers.</w:t>
      </w:r>
    </w:p>
    <w:p>
      <w:pPr>
        <w:spacing w:before="0" w:after="0" w:line="408" w:lineRule="exact"/>
        <w:ind w:left="0" w:right="0" w:firstLine="576"/>
        <w:jc w:val="left"/>
      </w:pPr>
      <w:r>
        <w:rPr/>
        <w:t xml:space="preserve">(5) The department may prioritize investigations as needed to allow for timely resolution.</w:t>
      </w:r>
    </w:p>
    <w:p>
      <w:pPr>
        <w:spacing w:before="0" w:after="0" w:line="408" w:lineRule="exact"/>
        <w:ind w:left="0" w:right="0" w:firstLine="576"/>
        <w:jc w:val="left"/>
      </w:pPr>
      <w:r>
        <w:rPr/>
        <w:t xml:space="preserve">(6) Nothing in this chapter limits the department's ability to investigate under any other authority.</w:t>
      </w:r>
    </w:p>
    <w:p>
      <w:pPr>
        <w:spacing w:before="0" w:after="0" w:line="408" w:lineRule="exact"/>
        <w:ind w:left="0" w:right="0" w:firstLine="576"/>
        <w:jc w:val="left"/>
      </w:pPr>
      <w:r>
        <w:rPr/>
        <w:t xml:space="preserve">(7) Nothing in this chapter limits a worker's right to pursue private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and 8 of this act constitute a new chapter in Title 49 RCW.</w:t>
      </w:r>
    </w:p>
    <w:p/>
    <w:p>
      <w:pPr>
        <w:jc w:val="center"/>
      </w:pPr>
      <w:r>
        <w:rPr>
          <w:b/>
        </w:rPr>
        <w:t>--- END ---</w:t>
      </w:r>
    </w:p>
    <w:sectPr>
      <w:pgNumType w:start="1"/>
      <w:footerReference xmlns:r="http://schemas.openxmlformats.org/officeDocument/2006/relationships" r:id="Rd3fd137a2ab84f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ab18955c994bbc" /><Relationship Type="http://schemas.openxmlformats.org/officeDocument/2006/relationships/footer" Target="/word/footer1.xml" Id="Rd3fd137a2ab84f6d" /></Relationships>
</file>