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72ef4032e747f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2660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Riccelli, Harris, Santos, Shewmake, Leavitt, Steele, Stonier, Hudgins, Senn, Gregerson, Doglio, Peterson, Thai, Rude, Valdez, Chapman, Bergquist, Goodman, Callan, Tharinger, Maycumber, Pollet, Davis, Kretz, and Macri)</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school meals provided to public school students at no student cost; amending RCW 28A.235.290, 28A.150.260, and 28A.405.415; adding a new section to chapter 28A.235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hunger-free schools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290</w:t>
      </w:r>
      <w:r>
        <w:rPr/>
        <w:t xml:space="preserve"> and 2019 c 208 s 2 are each amended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2021</w:t>
      </w:r>
      <w:r>
        <w:rPr/>
        <w:t xml:space="preserve">, the office of the superintendent of public instruction shall convene the organizations working jointly on the plan monthly to report on the status of the plan and coordinate outreach and technical assistance efforts to schools and school districts. </w:t>
      </w:r>
      <w:r>
        <w:rPr>
          <w:u w:val="single"/>
        </w:rPr>
        <w:t xml:space="preserve">In completing the duties required by this subsection (2), the office of the superintendent of public instruction and the organizations working jointly on the plan shall also, by December 1, 2020, examine the impacts to schools and districts that can result from participation in the community eligibility provision and identify approaches to addressing those impacts.</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December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Except as provided otherwise by this section, each school with students in or below grade eight that has an identified student percentage of at least sixty-two and one-half percent,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t xml:space="preserve">(2) Schools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w:t>
      </w:r>
      <w:r>
        <w:rPr>
          <w:u w:val="single"/>
        </w:rPr>
        <w:t xml:space="preserve">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w:t>
      </w:r>
      <w:r>
        <w:rPr/>
        <w:t xml:space="preserve">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w:t>
      </w:r>
      <w:r>
        <w:rPr>
          <w:u w:val="single"/>
        </w:rPr>
        <w:t xml:space="preserve">A school continues to meet the definition of a qualifying school if the school: Participates in the United States department of agriculture's community eligibility provision; and met the definition of a qualifying school in the year immediately preceding their participation.</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five thousand dollars in the 2007-08 school year. Thereafter, the annual bonus shall increase by inflation, except that the bonus shall not be increased during the 2013-14 and 2014-15 school years. </w:t>
      </w:r>
    </w:p>
    <w:p>
      <w:pPr>
        <w:spacing w:before="0" w:after="0" w:line="408" w:lineRule="exact"/>
        <w:ind w:left="0" w:right="0" w:firstLine="576"/>
        <w:jc w:val="left"/>
      </w:pPr>
      <w:r>
        <w:rPr/>
        <w:t xml:space="preserve">(2)</w:t>
      </w:r>
      <w:r>
        <w:rPr>
          <w:u w:val="single"/>
        </w:rPr>
        <w:t xml:space="preserve">(a)</w:t>
      </w:r>
      <w:r>
        <w:rPr/>
        <w:t xml:space="preserve">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spacing w:before="0" w:after="0" w:line="408" w:lineRule="exact"/>
        <w:ind w:left="0" w:right="0" w:firstLine="576"/>
        <w:jc w:val="left"/>
      </w:pPr>
      <w:r>
        <w:rPr>
          <w:u w:val="single"/>
        </w:rPr>
        <w:t xml:space="preserve">(b) An individual is eligible for bonuses authorized under this subsection (2) if he or she is an instructional assignment in a school in which at least seventy percent of the students qualified for free and reduced-price lunches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five thousand dollars.</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
      <w:pPr>
        <w:jc w:val="center"/>
      </w:pPr>
      <w:r>
        <w:rPr>
          <w:b/>
        </w:rPr>
        <w:t>--- END ---</w:t>
      </w:r>
    </w:p>
    <w:sectPr>
      <w:pgNumType w:start="1"/>
      <w:footerReference xmlns:r="http://schemas.openxmlformats.org/officeDocument/2006/relationships" r:id="R7ef1964660c94d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463ac921f4567" /><Relationship Type="http://schemas.openxmlformats.org/officeDocument/2006/relationships/footer" Target="/word/footer1.xml" Id="R7ef1964660c94dbc" /></Relationships>
</file>