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ac44416b154eb2" /></Relationships>
</file>

<file path=word/document.xml><?xml version="1.0" encoding="utf-8"?>
<w:document xmlns:w="http://schemas.openxmlformats.org/wordprocessingml/2006/main">
  <w:body>
    <w:p>
      <w:r>
        <w:t>H-3852.2</w:t>
      </w:r>
    </w:p>
    <w:p>
      <w:pPr>
        <w:jc w:val="center"/>
      </w:pPr>
      <w:r>
        <w:t>_______________________________________________</w:t>
      </w:r>
    </w:p>
    <w:p/>
    <w:p>
      <w:pPr>
        <w:jc w:val="center"/>
      </w:pPr>
      <w:r>
        <w:rPr>
          <w:b/>
        </w:rPr>
        <w:t>HOUSE BILL 2638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Peterson, MacEwen, Stonier, Harris, Robinson, Young, Ortiz-Self, Stokesbary, Tharinger, Walsh, Riccelli, Appleton, Griffey, Hansen, Kloba, Lekanoff, Sells, Chapman, Gregerson, and Ramel</w:t>
      </w:r>
    </w:p>
    <w:p/>
    <w:p>
      <w:r>
        <w:rPr>
          <w:t xml:space="preserve">Read first time 01/16/20.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sports wagering subject to the terms of tribal-state gaming compacts; amending RCW 9.46.070, 9.46.240, and 9.46.090; adding new sections to chapter 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long been the policy of this state to prohibit all forms and means of gambling except where carefully and specifically authorized and regulated. The legislature intends to further this policy by authorizing sports wagering on a very limited basis by restricting it to tribal casinos in the state of Washington. Tribes have more than twenty years' experience with, and a proven track record of, successfully operating and regulating gaming facilities in accordance with tribal gaming compacts. Tribal casinos can operate sports wagering pursuant to these tribal gaming compacts, offering the benefits of the same highly regulated environment to sports wagering.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Upon the request of a federally recognized Indian tribe in the state of Washington, the tribe's class III gaming compact must be amended pursuant to the Indian gaming regulatory act, 25 U.S.C. Sec. 2701 et seq., and RCW 9.46.360 to authorize the tribe to conduct and operate sports wagering on federal Indian lands, provided the amendment addresses how sports wagering will be conducted, operated, and regulated. Sports wagering conducted pursuant to the gaming compact is a gambling activity authorized by this chapter.</w:t>
      </w:r>
    </w:p>
    <w:p>
      <w:pPr>
        <w:spacing w:before="0" w:after="0" w:line="408" w:lineRule="exact"/>
        <w:ind w:left="0" w:right="0" w:firstLine="576"/>
        <w:jc w:val="left"/>
      </w:pPr>
      <w:r>
        <w:rPr/>
        <w:t xml:space="preserve">(2) Sports wagering conducted pursuant to the provisions of a class III gaming compact entered into by a tribe and the state pursuant to RCW 9.46.360 is not bookmaking and is not subject to civil or criminal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w:t>
      </w:r>
      <w:r>
        <w:rPr>
          <w:u w:val="single"/>
        </w:rPr>
        <w:t xml:space="preserve">manufacturing,</w:t>
      </w:r>
      <w:r>
        <w:rPr/>
        <w:t xml:space="preserve"> selling, distributing, or otherwise supplying </w:t>
      </w:r>
      <w:r>
        <w:t>((</w:t>
      </w:r>
      <w:r>
        <w:rPr>
          <w:strike/>
        </w:rPr>
        <w:t xml:space="preserve">or in the manufacturing</w:t>
      </w:r>
      <w:r>
        <w:t>))</w:t>
      </w:r>
      <w:r>
        <w:rPr/>
        <w:t xml:space="preserve"> of devices</w:t>
      </w:r>
      <w:r>
        <w:rPr>
          <w:u w:val="single"/>
        </w:rPr>
        <w:t xml:space="preserve">, equipment, software, hardware, or any gambling-related services</w:t>
      </w:r>
      <w:r>
        <w:rPr/>
        <w:t xml:space="preserve">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or (b) participating as an employee in the operation of any gambling activity,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issue licenses under subsections (1) through (4) of this section that are valid for a period of up to eighteen months, if it chooses to do so, in order to transition to the use of the business licensing services program through the department of revenue; </w:t>
      </w:r>
      <w:r>
        <w:t>((</w:t>
      </w:r>
      <w:r>
        <w:rPr>
          <w:strike/>
        </w:rPr>
        <w:t xml:space="preserve">and</w:t>
      </w:r>
      <w:r>
        <w:t>))</w:t>
      </w:r>
    </w:p>
    <w:p>
      <w:pPr>
        <w:spacing w:before="0" w:after="0" w:line="408" w:lineRule="exact"/>
        <w:ind w:left="0" w:right="0" w:firstLine="576"/>
        <w:jc w:val="left"/>
      </w:pPr>
      <w:r>
        <w:rPr/>
        <w:t xml:space="preserve">(22) </w:t>
      </w:r>
      <w:r>
        <w:rPr>
          <w:u w:val="single"/>
        </w:rPr>
        <w:t xml:space="preserve">To provide to professional and collegiate sports teams and leagues an opportunity to provide comment in the adoption of any rules related to sports wagering; and</w:t>
      </w:r>
    </w:p>
    <w:p>
      <w:pPr>
        <w:spacing w:before="0" w:after="0" w:line="408" w:lineRule="exact"/>
        <w:ind w:left="0" w:right="0" w:firstLine="576"/>
        <w:jc w:val="left"/>
      </w:pP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transmission of gambling information over the internet for any sports wagering conducted and operated under this section and section 2 of this act is authorized, provided that a wager may be placed and accepted only while the customer placing the wager is physically present on the premises of the gaming facility of the Indian tribe or tribal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t xml:space="preserve">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However, this section shall not apply to such information transmitted or received or equipment installed or maintained relating to activities authorized by this chapter </w:t>
      </w:r>
      <w:r>
        <w:rPr>
          <w:u w:val="single"/>
        </w:rPr>
        <w:t xml:space="preserve">including, but not limited to, sports wagering authorized under sections 2 and 4 of this act,</w:t>
      </w:r>
      <w:r>
        <w:rPr/>
        <w:t xml:space="preserve"> or to any act or acts in furtherance thereof when conducted in compliance with the provisions of this chapter and in accordance with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For purposes of this chapter, "sports wagering" means the business of accepting wagers on any of the following sporting events, athletic events, or competitions by any system or method of wagering:</w:t>
      </w:r>
    </w:p>
    <w:p>
      <w:pPr>
        <w:spacing w:before="0" w:after="0" w:line="408" w:lineRule="exact"/>
        <w:ind w:left="0" w:right="0" w:firstLine="576"/>
        <w:jc w:val="left"/>
      </w:pPr>
      <w:r>
        <w:rPr/>
        <w:t xml:space="preserve">(i) A professional sport or athletic event;</w:t>
      </w:r>
    </w:p>
    <w:p>
      <w:pPr>
        <w:spacing w:before="0" w:after="0" w:line="408" w:lineRule="exact"/>
        <w:ind w:left="0" w:right="0" w:firstLine="576"/>
        <w:jc w:val="left"/>
      </w:pPr>
      <w:r>
        <w:rPr/>
        <w:t xml:space="preserve">(ii) A collegiate sport or athletic event;</w:t>
      </w:r>
    </w:p>
    <w:p>
      <w:pPr>
        <w:spacing w:before="0" w:after="0" w:line="408" w:lineRule="exact"/>
        <w:ind w:left="0" w:right="0" w:firstLine="576"/>
        <w:jc w:val="left"/>
      </w:pPr>
      <w:r>
        <w:rPr/>
        <w:t xml:space="preserve">(iii) An Olympic or international sports competition or event;</w:t>
      </w:r>
    </w:p>
    <w:p>
      <w:pPr>
        <w:spacing w:before="0" w:after="0" w:line="408" w:lineRule="exact"/>
        <w:ind w:left="0" w:right="0" w:firstLine="576"/>
        <w:jc w:val="left"/>
      </w:pPr>
      <w:r>
        <w:rPr/>
        <w:t xml:space="preserve">(iv) An electronic sports or esports competition or event;</w:t>
      </w:r>
    </w:p>
    <w:p>
      <w:pPr>
        <w:spacing w:before="0" w:after="0" w:line="408" w:lineRule="exact"/>
        <w:ind w:left="0" w:right="0" w:firstLine="576"/>
        <w:jc w:val="left"/>
      </w:pPr>
      <w:r>
        <w:rPr/>
        <w:t xml:space="preserve">(v) A combination of sporting events, athletic events, or competitions listed in (a)(i) through (iv) of this subsection (1); or</w:t>
      </w:r>
    </w:p>
    <w:p>
      <w:pPr>
        <w:spacing w:before="0" w:after="0" w:line="408" w:lineRule="exact"/>
        <w:ind w:left="0" w:right="0" w:firstLine="576"/>
        <w:jc w:val="left"/>
      </w:pPr>
      <w:r>
        <w:rPr/>
        <w:t xml:space="preserve">(vi) A portion of any sporting event, athletic event, or competition listed in (a)(i) through (iv) of this subsection (1).</w:t>
      </w:r>
    </w:p>
    <w:p>
      <w:pPr>
        <w:spacing w:before="0" w:after="0" w:line="408" w:lineRule="exact"/>
        <w:ind w:left="0" w:right="0" w:firstLine="576"/>
        <w:jc w:val="left"/>
      </w:pPr>
      <w:r>
        <w:rPr/>
        <w:t xml:space="preserve">(b) Sports wagering does not include the business of accepting wagers on horse racing authorized pursuant to chapter 67.16 RCW.</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pPr>
        <w:spacing w:before="0" w:after="0" w:line="408" w:lineRule="exact"/>
        <w:ind w:left="0" w:right="0" w:firstLine="576"/>
        <w:jc w:val="left"/>
      </w:pPr>
      <w:r>
        <w:rPr/>
        <w:t xml:space="preserve">(b)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pPr>
        <w:spacing w:before="0" w:after="0" w:line="408" w:lineRule="exact"/>
        <w:ind w:left="0" w:right="0" w:firstLine="576"/>
        <w:jc w:val="left"/>
      </w:pPr>
      <w:r>
        <w:rPr/>
        <w:t xml:space="preserve">(c) "Professional sport or athletic event" means an event that is not a collegiate sport or athletic event at which two or more persons participate in sports or athletic events and receive compensation in excess of actual expenses for their participation in the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090</w:t>
      </w:r>
      <w:r>
        <w:rPr/>
        <w:t xml:space="preserve"> and 1987 c 505 s 3 are each amended to read as follows:</w:t>
      </w:r>
    </w:p>
    <w:p>
      <w:pPr>
        <w:spacing w:before="0" w:after="0" w:line="408" w:lineRule="exact"/>
        <w:ind w:left="0" w:right="0" w:firstLine="576"/>
        <w:jc w:val="left"/>
      </w:pPr>
      <w:r>
        <w:rPr>
          <w:u w:val="single"/>
        </w:rPr>
        <w:t xml:space="preserve">(1)</w:t>
      </w:r>
      <w:r>
        <w:rPr/>
        <w:t xml:space="preserve"> Subject to RCW 40.07.040, the commission shall, from time to time, make reports to the governor and the legislature covering such matters in connection with this chapter as the governor and the legislature may require. These reports shall be public documents and contain such general information and remarks as the commission deems pertinent thereto and any information requested by either the governor or members of the legislature: PROVIDED, That the commission appointed pursuant to RCW 9.46.040 may conduct a thorough study of the types of gambling activity permitted and the types of gambling activity prohibited by this chapter and may make recommendations to the legislature as to: </w:t>
      </w:r>
      <w:r>
        <w:t>((</w:t>
      </w:r>
      <w:r>
        <w:rPr>
          <w:strike/>
        </w:rPr>
        <w:t xml:space="preserve">(1)</w:t>
      </w:r>
      <w:r>
        <w:t>))</w:t>
      </w:r>
      <w:r>
        <w:rPr/>
        <w:t xml:space="preserve"> </w:t>
      </w:r>
      <w:r>
        <w:rPr>
          <w:u w:val="single"/>
        </w:rPr>
        <w:t xml:space="preserve">(a)</w:t>
      </w:r>
      <w:r>
        <w:rPr/>
        <w:t xml:space="preserve"> Gambling activity that ought to be permitted; </w:t>
      </w:r>
      <w:r>
        <w:t>((</w:t>
      </w:r>
      <w:r>
        <w:rPr>
          <w:strike/>
        </w:rPr>
        <w:t xml:space="preserve">(2)</w:t>
      </w:r>
      <w:r>
        <w:t>))</w:t>
      </w:r>
      <w:r>
        <w:rPr/>
        <w:t xml:space="preserve"> </w:t>
      </w:r>
      <w:r>
        <w:rPr>
          <w:u w:val="single"/>
        </w:rPr>
        <w:t xml:space="preserve">(b)</w:t>
      </w:r>
      <w:r>
        <w:rPr/>
        <w:t xml:space="preserve"> gambling activity that ought to be prohibited; </w:t>
      </w:r>
      <w:r>
        <w:t>((</w:t>
      </w:r>
      <w:r>
        <w:rPr>
          <w:strike/>
        </w:rPr>
        <w:t xml:space="preserve">(3)</w:t>
      </w:r>
      <w:r>
        <w:t>))</w:t>
      </w:r>
      <w:r>
        <w:rPr/>
        <w:t xml:space="preserve"> </w:t>
      </w:r>
      <w:r>
        <w:rPr>
          <w:u w:val="single"/>
        </w:rPr>
        <w:t xml:space="preserve">(c)</w:t>
      </w:r>
      <w:r>
        <w:rPr/>
        <w:t xml:space="preserve"> the types of licenses and permits that ought to be required; </w:t>
      </w:r>
      <w:r>
        <w:t>((</w:t>
      </w:r>
      <w:r>
        <w:rPr>
          <w:strike/>
        </w:rPr>
        <w:t xml:space="preserve">(4)</w:t>
      </w:r>
      <w:r>
        <w:t>))</w:t>
      </w:r>
      <w:r>
        <w:rPr/>
        <w:t xml:space="preserve"> </w:t>
      </w:r>
      <w:r>
        <w:rPr>
          <w:u w:val="single"/>
        </w:rPr>
        <w:t xml:space="preserve">(d)</w:t>
      </w:r>
      <w:r>
        <w:rPr/>
        <w:t xml:space="preserve"> the type and amount of tax that ought to be applied to each type of permitted gambling activity; </w:t>
      </w:r>
      <w:r>
        <w:t>((</w:t>
      </w:r>
      <w:r>
        <w:rPr>
          <w:strike/>
        </w:rPr>
        <w:t xml:space="preserve">(5)</w:t>
      </w:r>
      <w:r>
        <w:t>))</w:t>
      </w:r>
      <w:r>
        <w:rPr/>
        <w:t xml:space="preserve"> </w:t>
      </w:r>
      <w:r>
        <w:rPr>
          <w:u w:val="single"/>
        </w:rPr>
        <w:t xml:space="preserve">(e)</w:t>
      </w:r>
      <w:r>
        <w:rPr/>
        <w:t xml:space="preserve"> any changes which may be made to the law of this state which further the purposes and policies set forth in RCW 9.46.010 as now law or hereafter amended; and </w:t>
      </w:r>
      <w:r>
        <w:t>((</w:t>
      </w:r>
      <w:r>
        <w:rPr>
          <w:strike/>
        </w:rPr>
        <w:t xml:space="preserve">(6)</w:t>
      </w:r>
      <w:r>
        <w:t>))</w:t>
      </w:r>
      <w:r>
        <w:rPr/>
        <w:t xml:space="preserve"> </w:t>
      </w:r>
      <w:r>
        <w:rPr>
          <w:u w:val="single"/>
        </w:rPr>
        <w:t xml:space="preserve">(f)</w:t>
      </w:r>
      <w:r>
        <w:rPr/>
        <w:t xml:space="preserve"> any other matter that the commission may deem appropriate.</w:t>
      </w:r>
    </w:p>
    <w:p>
      <w:pPr>
        <w:spacing w:before="0" w:after="0" w:line="408" w:lineRule="exact"/>
        <w:ind w:left="0" w:right="0" w:firstLine="576"/>
        <w:jc w:val="left"/>
      </w:pPr>
      <w:r>
        <w:rPr>
          <w:u w:val="single"/>
        </w:rPr>
        <w:t xml:space="preserve">(2) In addition to the reports under subsection (1) of this section, the commission must provide an initial report by December 1, 2021, and a final report by December 1, 2022, to the governor and the appropriate committees of the legislature. The reports must include, but are not limited to, the following:</w:t>
      </w:r>
    </w:p>
    <w:p>
      <w:pPr>
        <w:spacing w:before="0" w:after="0" w:line="408" w:lineRule="exact"/>
        <w:ind w:left="0" w:right="0" w:firstLine="576"/>
        <w:jc w:val="left"/>
      </w:pPr>
      <w:r>
        <w:rPr>
          <w:u w:val="single"/>
        </w:rPr>
        <w:t xml:space="preserve">(a) The state of the gambling industry both within the state and nationwide;</w:t>
      </w:r>
    </w:p>
    <w:p>
      <w:pPr>
        <w:spacing w:before="0" w:after="0" w:line="408" w:lineRule="exact"/>
        <w:ind w:left="0" w:right="0" w:firstLine="576"/>
        <w:jc w:val="left"/>
      </w:pPr>
      <w:r>
        <w:rPr>
          <w:u w:val="single"/>
        </w:rPr>
        <w:t xml:space="preserve">(b) Recommendations, if any, to the legislature concerning laws that the commission determines require immediate amendment to prevent abuses and violations of this act, including this chapter and chapters 67.04 and 67.24 RCW, or any other state criminal law that may be affected by sports wagering; and</w:t>
      </w:r>
    </w:p>
    <w:p>
      <w:pPr>
        <w:spacing w:before="0" w:after="0" w:line="408" w:lineRule="exact"/>
        <w:ind w:left="0" w:right="0" w:firstLine="576"/>
        <w:jc w:val="left"/>
      </w:pPr>
      <w:r>
        <w:rPr>
          <w:u w:val="single"/>
        </w:rPr>
        <w:t xml:space="preserve">(c) The value and cost of establishing a sports integrity unit to prevent and detect competition manipulation through education and enforcement of the criminal law provisions of this chapter and chapters 67.04 and 67.24 RCW, or any other state criminal law that may be needed to protect the integrity of sporting events and contests within the state, including whether other states have instituted similar units.</w:t>
      </w:r>
    </w:p>
    <w:p>
      <w:pPr>
        <w:spacing w:before="0" w:after="0" w:line="408" w:lineRule="exact"/>
        <w:ind w:left="0" w:right="0" w:firstLine="576"/>
        <w:jc w:val="left"/>
      </w:pPr>
      <w:r>
        <w:rPr/>
        <w:t xml:space="preserve"> </w:t>
      </w:r>
      <w:r>
        <w:rPr>
          <w:u w:val="single"/>
        </w:rPr>
        <w:t xml:space="preserve">(3)</w:t>
      </w:r>
      <w:r>
        <w:rPr/>
        <w:t xml:space="preserve"> Members of the commission and its staff may contact the legislature, or any of its members, at any time, to advise it of recommendations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1fce01e7eff46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5fbd7d9c24637" /><Relationship Type="http://schemas.openxmlformats.org/officeDocument/2006/relationships/footer" Target="/word/footer1.xml" Id="Rf1fce01e7eff4694" /></Relationships>
</file>