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3685a70d87408e" /></Relationships>
</file>

<file path=word/document.xml><?xml version="1.0" encoding="utf-8"?>
<w:document xmlns:w="http://schemas.openxmlformats.org/wordprocessingml/2006/main">
  <w:body>
    <w:p>
      <w:r>
        <w:t>H-3492.2</w:t>
      </w:r>
    </w:p>
    <w:p>
      <w:pPr>
        <w:jc w:val="center"/>
      </w:pPr>
      <w:r>
        <w:t>_______________________________________________</w:t>
      </w:r>
    </w:p>
    <w:p/>
    <w:p>
      <w:pPr>
        <w:jc w:val="center"/>
      </w:pPr>
      <w:r>
        <w:rPr>
          <w:b/>
        </w:rPr>
        <w:t>HOUSE BILL 2625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Eslick, Tarleton, Griffey, Pollet, Goehner, Senn, and Chapman</w:t>
      </w:r>
    </w:p>
    <w:p/>
    <w:p>
      <w:r>
        <w:rPr>
          <w:t xml:space="preserve">Read first time 01/16/20.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parks funding options; adding a new section to chapter 82.14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will continue to see significant population growth, with the most recent office of financial management forecasts estimating nearly two million more people by the year 2040. In the face of this dramatic growth, the legislature finds that it is more important than ever to help preserve, maintain, and enhance local parks, trails, and open spaces that are key contributors to the state's quality of life.</w:t>
      </w:r>
    </w:p>
    <w:p>
      <w:pPr>
        <w:spacing w:before="0" w:after="0" w:line="408" w:lineRule="exact"/>
        <w:ind w:left="0" w:right="0" w:firstLine="576"/>
        <w:jc w:val="left"/>
      </w:pPr>
      <w:r>
        <w:rPr/>
        <w:t xml:space="preserve">The legislature further finds that local parks and recreation agencies confronted with growth, impacted heavily by the great recession, and with limited resources are seeing a rapidly growing maintenance backlog that mirrors the experience of Washington state parks.</w:t>
      </w:r>
    </w:p>
    <w:p>
      <w:pPr>
        <w:spacing w:before="0" w:after="0" w:line="408" w:lineRule="exact"/>
        <w:ind w:left="0" w:right="0" w:firstLine="576"/>
        <w:jc w:val="left"/>
      </w:pPr>
      <w:r>
        <w:rPr/>
        <w:t xml:space="preserve">The legislature also finds that local parks and recreation agencies are dealing with a tremendous growth in the number of sports participants and a corollary of sharp increases in demand for local athletic fields, including a nearly three hundred percent increase in adult sports participation being experienced by one eastern Washington community.</w:t>
      </w:r>
    </w:p>
    <w:p>
      <w:pPr>
        <w:spacing w:before="0" w:after="0" w:line="408" w:lineRule="exact"/>
        <w:ind w:left="0" w:right="0" w:firstLine="576"/>
        <w:jc w:val="left"/>
      </w:pPr>
      <w:r>
        <w:rPr/>
        <w:t xml:space="preserve">Therefore, it is the intent of the legislature to establish additional statutory tools to help local parks and recreation agencies better address maintenance backlogs, preserve quality open spaces, and expand and improve athletic fields to accommodate the influx of adult and youth sports participants who are vying for use of those fields.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legislative authority of a city or a county, the governing body of a metropolitan park district under chapter 35.61 RCW, or the governing body of a parks and recreation district may submit an authorizing proposition to voters at a special or general election and, if the proposition is approved by a majority of persons voting, impose a sales and use tax in accordance with the terms of this chapter. The title of the ballot measure must clearly state the purposes for which the proposed sales tax will be used.</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taxing area.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(a) If both a county and a city within the boundaries of the county exercise the authority provided in this section, the city must collect the excise tax within its incorporated boundaries, and the county must collect the excise tax within the unincorporated areas.</w:t>
      </w:r>
    </w:p>
    <w:p>
      <w:pPr>
        <w:spacing w:before="0" w:after="0" w:line="408" w:lineRule="exact"/>
        <w:ind w:left="0" w:right="0" w:firstLine="576"/>
        <w:jc w:val="left"/>
      </w:pPr>
      <w:r>
        <w:rPr/>
        <w:t xml:space="preserve">(b) If both a county and a metropolitan park district or park district within the boundaries of the county exercise the authority provided in this section, the metropolitan park district or park district must collect the excise tax within its incorporated boundaries, and the county must collect the excise tax within the unincorporated areas.</w:t>
      </w:r>
    </w:p>
    <w:p>
      <w:pPr>
        <w:spacing w:before="0" w:after="0" w:line="408" w:lineRule="exact"/>
        <w:ind w:left="0" w:right="0" w:firstLine="576"/>
        <w:jc w:val="left"/>
      </w:pPr>
      <w:r>
        <w:rPr/>
        <w:t xml:space="preserve">(c) If both a city and a metropolitan park district or park district within the boundaries of the county exercise the authority provided in this section, the metropolitan park district or park district must collect the excise tax within its incorporated boundaries, and the city must collect the excise tax within its incorporated areas.</w:t>
      </w:r>
    </w:p>
    <w:p>
      <w:pPr>
        <w:spacing w:before="0" w:after="0" w:line="408" w:lineRule="exact"/>
        <w:ind w:left="0" w:right="0" w:firstLine="576"/>
        <w:jc w:val="left"/>
      </w:pPr>
      <w:r>
        <w:rPr/>
        <w:t xml:space="preserve">(d) If multiple agencies within the same service area gain approval by voters to exercise the authority provided in this section, they are directed to enter into an interlocal agreement pursuant to chapter 39.34 RCW to determine how to ensure the sales tax in any given service area does not exceed the rate in this subsection (2) and how to distribute the collections among the jurisdictions.</w:t>
      </w:r>
    </w:p>
    <w:p>
      <w:pPr>
        <w:spacing w:before="0" w:after="0" w:line="408" w:lineRule="exact"/>
        <w:ind w:left="0" w:right="0" w:firstLine="576"/>
        <w:jc w:val="left"/>
      </w:pPr>
      <w:r>
        <w:rPr/>
        <w:t xml:space="preserve">(3) The moneys collected under this section must be used for the purpose of acquiring, constructing, improving, providing, and funding park maintenance and improvement within the taxing area.</w:t>
      </w:r>
    </w:p>
    <w:p>
      <w:pPr>
        <w:spacing w:before="0" w:after="0" w:line="408" w:lineRule="exact"/>
        <w:ind w:left="0" w:right="0" w:firstLine="576"/>
        <w:jc w:val="left"/>
      </w:pPr>
      <w:r>
        <w:rPr/>
        <w:t xml:space="preserve">(4) Except as provided in subsection (5) of this section, the tax may not be imposed for a period exceeding ten years. The tax, if not imposed under the conditions of subsection (5) of this section, may be extended for a period not exceeding ten years with an affirmative vote of the voters voting at the election.</w:t>
      </w:r>
    </w:p>
    <w:p>
      <w:pPr>
        <w:spacing w:before="0" w:after="0" w:line="408" w:lineRule="exact"/>
        <w:ind w:left="0" w:right="0" w:firstLine="576"/>
        <w:jc w:val="left"/>
      </w:pPr>
      <w:r>
        <w:rPr/>
        <w:t xml:space="preserve">(5) The voter-approved sales tax initially imposed under this section after July 1, 2020, may be imposed for a period exceeding ten years if the moneys received under this section are dedicated for the repayment of indebtedness incurred in accordance with the requirements of this section.</w:t>
      </w:r>
    </w:p>
    <w:p>
      <w:pPr>
        <w:spacing w:before="0" w:after="0" w:line="408" w:lineRule="exact"/>
        <w:ind w:left="0" w:right="0" w:firstLine="576"/>
        <w:jc w:val="left"/>
      </w:pPr>
      <w:r>
        <w:rPr/>
        <w:t xml:space="preserve">(6) Money received from the tax imposed under this section must be spent in accordance with the requirements of this section and the district may deduct no more than three percent of the tax collected for administration and collection of expenses incurred by it.</w:t>
      </w:r>
    </w:p>
    <w:p>
      <w:pPr>
        <w:spacing w:before="0" w:after="0" w:line="408" w:lineRule="exact"/>
        <w:ind w:left="0" w:right="0" w:firstLine="576"/>
        <w:jc w:val="left"/>
      </w:pPr>
      <w:r>
        <w:rPr/>
        <w:t xml:space="preserve">(7) To carry out the purposes of this section, the entity imposing the tax has the authority to issue general obligation or revenue bonds within the limitations now or hereafter prescribed by the laws of this state, and may use, and is authorized to pledge, the moneys collected for repayment of such bonds.</w:t>
      </w:r>
    </w:p>
    <w:p/>
    <w:p>
      <w:pPr>
        <w:jc w:val="center"/>
      </w:pPr>
      <w:r>
        <w:rPr>
          <w:b/>
        </w:rPr>
        <w:t>--- END ---</w:t>
      </w:r>
    </w:p>
    <w:sectPr>
      <w:pgNumType w:start="1"/>
      <w:footerReference xmlns:r="http://schemas.openxmlformats.org/officeDocument/2006/relationships" r:id="R4c82bde884ed4c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001b8f959146bb" /><Relationship Type="http://schemas.openxmlformats.org/officeDocument/2006/relationships/footer" Target="/word/footer1.xml" Id="R4c82bde884ed4c92" /></Relationships>
</file>