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300ae94214f8d" /></Relationships>
</file>

<file path=word/document.xml><?xml version="1.0" encoding="utf-8"?>
<w:document xmlns:w="http://schemas.openxmlformats.org/wordprocessingml/2006/main">
  <w:body>
    <w:p>
      <w:r>
        <w:t>H-3921.1</w:t>
      </w:r>
    </w:p>
    <w:p>
      <w:pPr>
        <w:jc w:val="center"/>
      </w:pPr>
      <w:r>
        <w:t>_______________________________________________</w:t>
      </w:r>
    </w:p>
    <w:p/>
    <w:p>
      <w:pPr>
        <w:jc w:val="center"/>
      </w:pPr>
      <w:r>
        <w:rPr>
          <w:b/>
        </w:rPr>
        <w:t>HOUSE BILL 2585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Schmick, Barkis, and Shea</w:t>
      </w:r>
    </w:p>
    <w:p/>
    <w:p>
      <w:r>
        <w:rPr>
          <w:t xml:space="preserve">Read first time 01/15/20.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discretion to the director of the department of labor and industries to waive or modify penalties and violations when action is taken to avoid imminent danger of loss of life or serious injury; amending RCW 49.17.180;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adopted various laws regarding employee health and safety standards and employers' responsibilities to provide a safe and healthy workplace. These laws include provisions for what constitutes a safety or health violation and under what circumstances an employer may or must be assessed a civil penalty due to a safety or health violation. The legislature further finds that there are rare, unanticipated circumstances which require immediate action due to imminent danger of loss of life or serious injury that require employees or employers to take actions they would otherwise not take due to specific requirements in laws or rules. The legislature therefore intends to provide the director of the department of labor and industries with the authority to waive a penalty or violation in limited circumstances that required immediate action due to imminent danger of loss of life or serious injury and no other practical option was immediately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2018 c 128 s 1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may be assessed a civil penalty not to exceed seventy thousand dollars for each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 minimum penalty of five thousand dollars shall be assessed for a willful violation; unless set to a specific higher amount by the federal occupational safety and health administration and this state is required to equal the higher penalty amount to qualify a state plan.</w:t>
      </w:r>
    </w:p>
    <w:p>
      <w:pPr>
        <w:spacing w:before="0" w:after="0" w:line="408" w:lineRule="exact"/>
        <w:ind w:left="0" w:right="0" w:firstLine="576"/>
        <w:jc w:val="left"/>
      </w:pPr>
      <w:r>
        <w:rPr/>
        <w:t xml:space="preserve">(2) Any employer who has received a citation for a serious violation of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as determined in accordance with subsection (6) of this section, shall be assessed a civil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(3) Any employer who has received a citation for a violation of the requirements of RCW 49.17.060, of any safety or health standard adopted under this chapter, of any existing rule or regulation governing the conditions of employment adopted by the department, or of any order issued granting a variance under RCW 49.17.080 or 49.17.090, where such violation is specifically determined not to be of a serious nature as provided in subsection (6) of this section, may be assessed a civil penalty not to exceed seven thousand dollars for each such violation, unless such violation is determined to be de minimis or,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(5) Any employer who violates any of the posting requirements of this chapter, or any of the posting requirements of rules adopted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Any employer who violates any of the posting requirements for the posting of informational, educational, or training materials under the authority of RCW 49.17.050(7), may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(6)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rPr/>
        <w:t xml:space="preserve">(7)</w:t>
      </w:r>
      <w:r>
        <w:rPr>
          <w:u w:val="single"/>
        </w:rPr>
        <w:t xml:space="preserve">(a)</w:t>
      </w:r>
      <w:r>
        <w:rPr/>
        <w:t xml:space="preserve">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rPr>
          <w:u w:val="single"/>
        </w:rPr>
        <w:t xml:space="preserve">(b) The director may waive or modify the finding of any violation for an action that would otherwise constitute a violation of this chapter and may waive all or part of any civil penalty provided in this section, under the following limited circumstances:</w:t>
      </w:r>
    </w:p>
    <w:p>
      <w:pPr>
        <w:spacing w:before="0" w:after="0" w:line="408" w:lineRule="exact"/>
        <w:ind w:left="0" w:right="0" w:firstLine="576"/>
        <w:jc w:val="left"/>
      </w:pPr>
      <w:r>
        <w:rPr>
          <w:u w:val="single"/>
        </w:rPr>
        <w:t xml:space="preserve">(i) Immediate action was required to be taken due to imminent danger of loss of life or serious injury; and</w:t>
      </w:r>
    </w:p>
    <w:p>
      <w:pPr>
        <w:spacing w:before="0" w:after="0" w:line="408" w:lineRule="exact"/>
        <w:ind w:left="0" w:right="0" w:firstLine="576"/>
        <w:jc w:val="left"/>
      </w:pPr>
      <w:r>
        <w:rPr>
          <w:u w:val="single"/>
        </w:rPr>
        <w:t xml:space="preserve">(ii) No other practical option was immediately available.</w:t>
      </w:r>
    </w:p>
    <w:p>
      <w:pPr>
        <w:spacing w:before="0" w:after="0" w:line="408" w:lineRule="exact"/>
        <w:ind w:left="0" w:right="0" w:firstLine="576"/>
        <w:jc w:val="left"/>
      </w:pPr>
      <w:r>
        <w:rPr/>
        <w:t xml:space="preserve">(8)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
      <w:pPr>
        <w:jc w:val="center"/>
      </w:pPr>
      <w:r>
        <w:rPr>
          <w:b/>
        </w:rPr>
        <w:t>--- END ---</w:t>
      </w:r>
    </w:p>
    <w:sectPr>
      <w:pgNumType w:start="1"/>
      <w:footerReference xmlns:r="http://schemas.openxmlformats.org/officeDocument/2006/relationships" r:id="Rcc6720abb72f48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7e7f2993b64dac" /><Relationship Type="http://schemas.openxmlformats.org/officeDocument/2006/relationships/footer" Target="/word/footer1.xml" Id="Rcc6720abb72f487e" /></Relationships>
</file>