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a0840595a4d88" /></Relationships>
</file>

<file path=word/document.xml><?xml version="1.0" encoding="utf-8"?>
<w:document xmlns:w="http://schemas.openxmlformats.org/wordprocessingml/2006/main">
  <w:body>
    <w:p>
      <w:r>
        <w:t>Z-0730.1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2514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Representatives Leavitt, Rude, Slatter, Ortiz-Self, Kilduff, Valdez, and Goodman; by request of Lieutenant Governor</w:t>
      </w:r>
    </w:p>
    <w:p/>
    <w:p>
      <w:r>
        <w:rPr>
          <w:t xml:space="preserve">Read first time 01/15/20.  </w:t>
        </w:rPr>
      </w:r>
      <w:r>
        <w:rPr>
          <w:t xml:space="preserve">Referred to Committee on College &amp; Workforce Development.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creating the Washington common application; adding a new section to chapter 28B.77 RCW; and adding a new section to chapter 28B.15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77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Washington student achievement council shall develop a common application for admission to Washington's public colleges and universities. In creating the common application, the student achievement council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Consult with the public colleges and universities in determining the required elements of a common application;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Develop an online application tool through which prospective postsecondary students can apply to the public colleges and universities;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Establish a uniform college application fee which may be adjusted annually;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Consult with the public colleges and universities to develop a common application fee waiver process through the common application for low-income students.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(2)(a) The Washington student achievement council must develop a common application fee waiver policy for eligible prospective students.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For purposes of this section, eligible prospective students are those who: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Are a resident student of the state of Washington in accordance with RCW 28B.15.012(2) (a) through (e);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Apply for acceptance as an undergraduate student at an institution of higher education through the common application and have not yet earned a bachelor's degree or its equivalent;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Demonstrate financial need under RCW 28B.92.205.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15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Institutions of higher education must accept the common application for postsecondary admission as created under section 1 of this act. Institutions of higher education may require additional supplemental materials as part of the common application process.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Institutions of higher education may not charge additional fees beyond the uniform college application fee created under section 1 of this act for review of the common application or consider the receipt of application fee waivers through the common application as part of the admissions process.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7affe5e4ef6499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2514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4e78f58b9425a" /><Relationship Type="http://schemas.openxmlformats.org/officeDocument/2006/relationships/footer" Target="/word/footer1.xml" Id="Ra7affe5e4ef64995" /></Relationships>
</file>