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e8061bf5b34c11" /></Relationships>
</file>

<file path=word/document.xml><?xml version="1.0" encoding="utf-8"?>
<w:document xmlns:w="http://schemas.openxmlformats.org/wordprocessingml/2006/main">
  <w:body>
    <w:p>
      <w:r>
        <w:t>H-4469.1</w:t>
      </w:r>
    </w:p>
    <w:p>
      <w:pPr>
        <w:jc w:val="center"/>
      </w:pPr>
      <w:r>
        <w:t>_______________________________________________</w:t>
      </w:r>
    </w:p>
    <w:p/>
    <w:p>
      <w:pPr>
        <w:jc w:val="center"/>
      </w:pPr>
      <w:r>
        <w:rPr>
          <w:b/>
        </w:rPr>
        <w:t>SUBSTITUTE HOUSE BILL 2427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Duerr, Springer, Shewmake, Doglio, Fitzgibbon, Ryu, Gregerson, Santos, Tharinger, Davis, Macri, Pollet, Goodman, and Wylie)</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tackling climate change as a goal of the growth management act; and amending RCW 36.70A.020 and 36.70A.480.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w:t>
      </w:r>
      <w:r>
        <w:rPr>
          <w:u w:val="single"/>
        </w:rPr>
        <w:t xml:space="preserve">It is the intent of the legislature that new or amended goals required after January 1, 2020, be adopted concurrent with the scheduled update provided in RCW 36.70A.130.</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(14)(a) Climate change. Develop and implement comprehensive plans, development regulations, and regional policies, plans, and strategies under RCW 36.70A.210 and chapter 47.80 RCW that help achieve state greenhouse gas emission reduction limits; adapt to the effects of a changing climate; build resilient infrastructure; and protect people and property from natural hazards exacerbated by the changing climate.</w:t>
      </w:r>
    </w:p>
    <w:p>
      <w:pPr>
        <w:spacing w:before="0" w:after="0" w:line="408" w:lineRule="exact"/>
        <w:ind w:left="0" w:right="0" w:firstLine="576"/>
        <w:jc w:val="left"/>
      </w:pPr>
      <w:r>
        <w:rPr>
          <w:u w:val="single"/>
        </w:rPr>
        <w:t xml:space="preserve">(b) The goals of (a) of this subsection (14) only apply to counties, and cities within those counties, that are required to establish a review and evaluation program under RCW 36.70A.215 or that have a population of greater than three hundred thousand as determined by the office of financial management population estimates. Because of the benefits of doing so, other counties, and the cities within those counties, are encouraged to consider climate change to be a goal of this chapter, consistent with (a) of this subsection (14).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fifteen</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
      <w:pPr>
        <w:jc w:val="center"/>
      </w:pPr>
      <w:r>
        <w:rPr>
          <w:b/>
        </w:rPr>
        <w:t>--- END ---</w:t>
      </w:r>
    </w:p>
    <w:sectPr>
      <w:pgNumType w:start="1"/>
      <w:footerReference xmlns:r="http://schemas.openxmlformats.org/officeDocument/2006/relationships" r:id="R6840e9c2d4714b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0f43f8a72d42a4" /><Relationship Type="http://schemas.openxmlformats.org/officeDocument/2006/relationships/footer" Target="/word/footer1.xml" Id="R6840e9c2d4714bf4" /></Relationships>
</file>