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41c8fb20cd4629" /></Relationships>
</file>

<file path=word/document.xml><?xml version="1.0" encoding="utf-8"?>
<w:document xmlns:w="http://schemas.openxmlformats.org/wordprocessingml/2006/main">
  <w:body>
    <w:p>
      <w:r>
        <w:t>H-4530.1</w:t>
      </w:r>
    </w:p>
    <w:p>
      <w:pPr>
        <w:jc w:val="center"/>
      </w:pPr>
      <w:r>
        <w:t>_______________________________________________</w:t>
      </w:r>
    </w:p>
    <w:p/>
    <w:p>
      <w:pPr>
        <w:jc w:val="center"/>
      </w:pPr>
      <w:r>
        <w:rPr>
          <w:b/>
        </w:rPr>
        <w:t>SUBSTITUTE HOUSE BILL 2359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Commerce &amp; Gaming (originally sponsored by Representatives Vick and Wylie)</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certificate of compliance for marijuana business premises that meet the statutory qualifications at the time of application;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2019 c 394 s 7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w:t>
      </w:r>
      <w:r>
        <w:t>((</w:t>
      </w:r>
      <w:r>
        <w:rPr>
          <w:strike/>
        </w:rPr>
        <w:t xml:space="preserve">(d)</w:t>
      </w:r>
      <w:r>
        <w:t>))</w:t>
      </w:r>
      <w:r>
        <w:rPr/>
        <w:t xml:space="preserve"> </w:t>
      </w:r>
      <w:r>
        <w:rPr>
          <w:u w:val="single"/>
        </w:rPr>
        <w:t xml:space="preserve">(e)</w:t>
      </w:r>
      <w:r>
        <w:rPr/>
        <w:t xml:space="preserve"> of this subsection,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w:t>
      </w:r>
      <w:r>
        <w:rPr>
          <w:u w:val="single"/>
        </w:rPr>
        <w:t xml:space="preserve">The board must issue a certificate of compliance for premises that met the requirements under (a), (b), (c), or (d) of this subsection upon completion of location compliance verification and approval. The certificate allows the licensee to operate the business at the proposed location notwithstanding a later occurring, otherwise disqualifying factor.</w:t>
      </w:r>
    </w:p>
    <w:p>
      <w:pPr>
        <w:spacing w:before="0" w:after="0" w:line="408" w:lineRule="exact"/>
        <w:ind w:left="0" w:right="0" w:firstLine="576"/>
        <w:jc w:val="left"/>
      </w:pPr>
      <w:r>
        <w:rPr>
          <w:u w:val="single"/>
        </w:rPr>
        <w:t xml:space="preserve">(f)</w:t>
      </w:r>
      <w:r>
        <w:rPr/>
        <w:t xml:space="preserve">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
      <w:pPr>
        <w:jc w:val="center"/>
      </w:pPr>
      <w:r>
        <w:rPr>
          <w:b/>
        </w:rPr>
        <w:t>--- END ---</w:t>
      </w:r>
    </w:p>
    <w:sectPr>
      <w:pgNumType w:start="1"/>
      <w:footerReference xmlns:r="http://schemas.openxmlformats.org/officeDocument/2006/relationships" r:id="R9881b25d040643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5cbe102ce84328" /><Relationship Type="http://schemas.openxmlformats.org/officeDocument/2006/relationships/footer" Target="/word/footer1.xml" Id="R9881b25d040643dc" /></Relationships>
</file>