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6bdc59ad648e4" /></Relationships>
</file>

<file path=word/document.xml><?xml version="1.0" encoding="utf-8"?>
<w:document xmlns:w="http://schemas.openxmlformats.org/wordprocessingml/2006/main">
  <w:body>
    <w:p>
      <w:r>
        <w:t>H-3310.2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2194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Representatives Walsh, Gildon, Goehner, Barkis, Griffey, Young, Jenkin, Dufault, and Corry</w:t>
      </w:r>
    </w:p>
    <w:p/>
    <w:p>
      <w:r>
        <w:rPr>
          <w:t xml:space="preserve">Prefiled 12/04/19.</w:t>
        </w:rPr>
      </w:r>
      <w:r>
        <w:rPr>
          <w:t xml:space="preserve">Read first time 01/13/20.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restricting executive discretion in adjusting transportation budgets; repealing 2019 c 416 s 601 (uncodified); and declaring an emergency.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2019 c 416 s 601</w:t>
      </w:r>
      <w:r>
        <w:rPr/>
        <w:t xml:space="preserve"> (uncodified) is repealed.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8e4bf95da8d34470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2194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01efdc48041f1" /><Relationship Type="http://schemas.openxmlformats.org/officeDocument/2006/relationships/footer" Target="/word/footer1.xml" Id="R8e4bf95da8d34470" /></Relationships>
</file>