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db82e629d4934" /></Relationships>
</file>

<file path=word/document.xml><?xml version="1.0" encoding="utf-8"?>
<w:document xmlns:w="http://schemas.openxmlformats.org/wordprocessingml/2006/main">
  <w:body>
    <w:p>
      <w:r>
        <w:t>H-2213.1</w:t>
      </w:r>
    </w:p>
    <w:p>
      <w:pPr>
        <w:jc w:val="center"/>
      </w:pPr>
      <w:r>
        <w:t>_______________________________________________</w:t>
      </w:r>
    </w:p>
    <w:p/>
    <w:p>
      <w:pPr>
        <w:jc w:val="center"/>
      </w:pPr>
      <w:r>
        <w:rPr>
          <w:b/>
        </w:rPr>
        <w:t>SECOND SUBSTITUTE HOUSE BILL 2117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Frame, Tarleton, Sullivan, Springer, Walen, Macri, Orwall, Wylie, Chapman, Morris, Doglio, Peterson, Senn, Valdez, Ortiz-Self, Stanford, Pollet, and Santos)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modernize and rebalance the Washington state tax structure so that it is equitable, adequate, stable, and transparent for the people of Washington state; adding a new section to chapter 82.32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tax structure, developed at the turn of the twentieth century, is no longer adequate, equitable, stable, or transparent.</w:t>
      </w:r>
    </w:p>
    <w:p>
      <w:pPr>
        <w:spacing w:before="0" w:after="0" w:line="408" w:lineRule="exact"/>
        <w:ind w:left="0" w:right="0" w:firstLine="576"/>
        <w:jc w:val="left"/>
      </w:pPr>
      <w:r>
        <w:rPr/>
        <w:t xml:space="preserve">(a) In the early 1930s, the Washington supreme court overturned an initiative of the people that approved a tax intended to reduce the over-reliance on the property tax, in the midst of the great depression. In response to the court decision, the 1933 legislature adopted a gross receipts tax on businesses as a temporary measure to balance the state budget. This temporary tax measure, now referred to as the business and occupation tax, remains in law to this day. Because this tax does not allow a deduction for the cost of doing business, the tax penalizes new businesses, small businesses, and low margin businesses with high capital costs.</w:t>
      </w:r>
    </w:p>
    <w:p>
      <w:pPr>
        <w:spacing w:before="0" w:after="0" w:line="408" w:lineRule="exact"/>
        <w:ind w:left="0" w:right="0" w:firstLine="576"/>
        <w:jc w:val="left"/>
      </w:pPr>
      <w:r>
        <w:rPr/>
        <w:t xml:space="preserve">(b) Two years after the enactment of the temporary business tax and amidst deepening financial crisis, the legislature enacted the most comprehensive tax bill in state history, the revenue act of 1935. The act shifted the state's primary revenue source from property tax to excise taxes, making permanent the business and occupation tax and enacting the retail sales and use tax. Excise taxes have resulted in our state tax code being overly regressive. In other words, with a heavy reliance on sales tax and other excise taxes, households at the lowest end of the income spectrum pay more of their income to taxes compared to the wealthiest households in the state.</w:t>
      </w:r>
    </w:p>
    <w:p>
      <w:pPr>
        <w:spacing w:before="0" w:after="0" w:line="408" w:lineRule="exact"/>
        <w:ind w:left="0" w:right="0" w:firstLine="576"/>
        <w:jc w:val="left"/>
      </w:pPr>
      <w:r>
        <w:rPr/>
        <w:t xml:space="preserve">(c) Since the creation of our regressive tax structure, individual taxpayers and businesses have sought relief from the business and occupation tax, retail sales and use tax, property tax, and other taxes. Over the years, the legislature has adopted approximately seven hundred tax preferences including exemptions, deductions, deferrals, credits, exclusions, and preferential tax rates. While some of those tax preferences have a broad and positive impact, such as the voter-approved decision not to charge sales tax on food, many are targeted to benefit a very small number of taxpayers. The need for tax preferences to mitigate the consequences of the state tax structure has created structural deficits along with "winners" and "losers" within the code. According to the 2016 tax exemption study completed by the department or revenue, these tax preferences forego 50.4 billion dollars in revenue per biennium. This means the state foregoes more revenue in tax preferences than it collects from its remaining revenue sources, leaving those taxpayers without preferential tax treatment to assume a disproportionate share of the responsibility to fund critical local and state investments.</w:t>
      </w:r>
    </w:p>
    <w:p>
      <w:pPr>
        <w:spacing w:before="0" w:after="0" w:line="408" w:lineRule="exact"/>
        <w:ind w:left="0" w:right="0" w:firstLine="576"/>
        <w:jc w:val="left"/>
      </w:pPr>
      <w:r>
        <w:rPr/>
        <w:t xml:space="preserve">(2) The legislature further finds that in 2001, the Washington state tax structure study committee under section 138, chapter 7, Laws of 2001 2nd sp. sess., was established to study the elasticity, equity, and adequacy of the state's tax structure.</w:t>
      </w:r>
    </w:p>
    <w:p>
      <w:pPr>
        <w:spacing w:before="0" w:after="0" w:line="408" w:lineRule="exact"/>
        <w:ind w:left="0" w:right="0" w:firstLine="576"/>
        <w:jc w:val="left"/>
      </w:pPr>
      <w:r>
        <w:rPr/>
        <w:t xml:space="preserve">(a) The tax structure study committee produced a comprehensive report of their research, economic modeling, and resulting tax policy prescriptions. The legislature has adopted some of the recommended changes, including establishing the budget stabilization account, limiting new tax preferences with ten-year expiration dates, and streamlining online retail sales tax administration. While these incremental changes were made, none of the major alternatives have been adopted, including the recommendation to replace the business and occupation tax with a business value added tax.</w:t>
      </w:r>
    </w:p>
    <w:p>
      <w:pPr>
        <w:spacing w:before="0" w:after="0" w:line="408" w:lineRule="exact"/>
        <w:ind w:left="0" w:right="0" w:firstLine="576"/>
        <w:jc w:val="left"/>
      </w:pPr>
      <w:r>
        <w:rPr/>
        <w:t xml:space="preserve">(b) Since the tax structure study committee's final report was published in November 2002, Washington's population, economy, and communities have changed dramatically. Our state population has increased by more than twenty percent (an estimated 1.3 million additional people). In the decade since the great recession, some business sectors have rebounded, stronger than ever, while many other Washington industries have not recovered. Five Washington counties have captured seventy-four percent of all new jobs created since 2001. Economic analysis indicates state revenues are decoupling from the state's economic activity, creating structural revenue declines that undermine the state's ability to provide essential services to the people and communities of the state. Washington state and local revenue collections as a share of personal income has dropped approximately ten percent since the late 1990s. Legislative policy choices, voter initiatives, consumer behavior, federal changes, low interest rates, and our transition from a manufacturing economy to a service based economy have all contributed to the erosion of the state general fund revenue.</w:t>
      </w:r>
    </w:p>
    <w:p>
      <w:pPr>
        <w:spacing w:before="0" w:after="0" w:line="408" w:lineRule="exact"/>
        <w:ind w:left="0" w:right="0" w:firstLine="576"/>
        <w:jc w:val="left"/>
      </w:pPr>
      <w:r>
        <w:rPr/>
        <w:t xml:space="preserve">(3) The legislature further finds that in 2017, the Washington state house tax structure work group under section 101, chapter 1, Laws of 2017 3rd sp. sess., was established to facilitate public discussions throughout the state about the advantages and disadvantages of the state's current tax structure and potential options to improve the current structure for the benefit of individuals, families, and businesses in Washington state. Legislators traveled across the state to hear directly from taxpayers about key challenges in the tax structure that should be studied and addressed in the future.</w:t>
      </w:r>
    </w:p>
    <w:p>
      <w:pPr>
        <w:spacing w:before="0" w:after="0" w:line="408" w:lineRule="exact"/>
        <w:ind w:left="0" w:right="0" w:firstLine="576"/>
        <w:jc w:val="left"/>
      </w:pPr>
      <w:r>
        <w:rPr/>
        <w:t xml:space="preserve">(a) The taxpayers recommended finding solutions to address the:</w:t>
      </w:r>
    </w:p>
    <w:p>
      <w:pPr>
        <w:spacing w:before="0" w:after="0" w:line="408" w:lineRule="exact"/>
        <w:ind w:left="0" w:right="0" w:firstLine="576"/>
        <w:jc w:val="left"/>
      </w:pPr>
      <w:r>
        <w:rPr/>
        <w:t xml:space="preserve">(i) Regressive nature of the tax code;</w:t>
      </w:r>
    </w:p>
    <w:p>
      <w:pPr>
        <w:spacing w:before="0" w:after="0" w:line="408" w:lineRule="exact"/>
        <w:ind w:left="0" w:right="0" w:firstLine="576"/>
        <w:jc w:val="left"/>
      </w:pPr>
      <w:r>
        <w:rPr/>
        <w:t xml:space="preserve">(ii) Negative impact of the business and occupation tax on small, start-up, and low-margin businesses;</w:t>
      </w:r>
    </w:p>
    <w:p>
      <w:pPr>
        <w:spacing w:before="0" w:after="0" w:line="408" w:lineRule="exact"/>
        <w:ind w:left="0" w:right="0" w:firstLine="576"/>
        <w:jc w:val="left"/>
      </w:pPr>
      <w:r>
        <w:rPr/>
        <w:t xml:space="preserve">(iii) Need to modernize the tax structure to reflect the changing economy; and</w:t>
      </w:r>
    </w:p>
    <w:p>
      <w:pPr>
        <w:spacing w:before="0" w:after="0" w:line="408" w:lineRule="exact"/>
        <w:ind w:left="0" w:right="0" w:firstLine="576"/>
        <w:jc w:val="left"/>
      </w:pPr>
      <w:r>
        <w:rPr/>
        <w:t xml:space="preserve">(iv) Excessive number of tax preferences and exemptions;</w:t>
      </w:r>
    </w:p>
    <w:p>
      <w:pPr>
        <w:spacing w:before="0" w:after="0" w:line="408" w:lineRule="exact"/>
        <w:ind w:left="0" w:right="0" w:firstLine="576"/>
        <w:jc w:val="left"/>
      </w:pPr>
      <w:r>
        <w:rPr/>
        <w:t xml:space="preserve">(b) The taxpayers also recommended conducting economic modeling and comparative research of major alternatives to current revenue sources, including but not limited to replacing:</w:t>
      </w:r>
    </w:p>
    <w:p>
      <w:pPr>
        <w:spacing w:before="0" w:after="0" w:line="408" w:lineRule="exact"/>
        <w:ind w:left="0" w:right="0" w:firstLine="576"/>
        <w:jc w:val="left"/>
      </w:pPr>
      <w:r>
        <w:rPr/>
        <w:t xml:space="preserve">(i) The business and occupation tax with an alternative taxing mechanism such as corporate income tax or margins tax;</w:t>
      </w:r>
    </w:p>
    <w:p>
      <w:pPr>
        <w:spacing w:before="0" w:after="0" w:line="408" w:lineRule="exact"/>
        <w:ind w:left="0" w:right="0" w:firstLine="576"/>
        <w:jc w:val="left"/>
      </w:pPr>
      <w:r>
        <w:rPr/>
        <w:t xml:space="preserve">(ii) The one percent revenue growth limit on regular property taxes with a limit based on population growth and inflation;</w:t>
      </w:r>
    </w:p>
    <w:p>
      <w:pPr>
        <w:spacing w:before="0" w:after="0" w:line="408" w:lineRule="exact"/>
        <w:ind w:left="0" w:right="0" w:firstLine="576"/>
        <w:jc w:val="left"/>
      </w:pPr>
      <w:r>
        <w:rPr/>
        <w:t xml:space="preserve">(iii) A portion of the state property tax with a capital gains tax; and</w:t>
      </w:r>
    </w:p>
    <w:p>
      <w:pPr>
        <w:spacing w:before="0" w:after="0" w:line="408" w:lineRule="exact"/>
        <w:ind w:left="0" w:right="0" w:firstLine="576"/>
        <w:jc w:val="left"/>
      </w:pPr>
      <w:r>
        <w:rPr/>
        <w:t xml:space="preserve">(iv) Other existing revenue sources with alternative revenue sources.</w:t>
      </w:r>
    </w:p>
    <w:p>
      <w:pPr>
        <w:spacing w:before="0" w:after="0" w:line="408" w:lineRule="exact"/>
        <w:ind w:left="0" w:right="0" w:firstLine="576"/>
        <w:jc w:val="left"/>
      </w:pPr>
      <w:r>
        <w:rPr/>
        <w:t xml:space="preserve">(4) Therefore, it is the intent of the legislature to modernize and rebalance our state tax structure. To accomplish this, the legislature will:</w:t>
      </w:r>
    </w:p>
    <w:p>
      <w:pPr>
        <w:spacing w:before="0" w:after="0" w:line="408" w:lineRule="exact"/>
        <w:ind w:left="0" w:right="0" w:firstLine="576"/>
        <w:jc w:val="left"/>
      </w:pPr>
      <w:r>
        <w:rPr/>
        <w:t xml:space="preserve">(a) Directly engage in robust conversations with taxpayers, stakeholders, and experts across the state about how to make our tax structure more equitable, adequate, stable, and transparent;</w:t>
      </w:r>
    </w:p>
    <w:p>
      <w:pPr>
        <w:spacing w:before="0" w:after="0" w:line="408" w:lineRule="exact"/>
        <w:ind w:left="0" w:right="0" w:firstLine="576"/>
        <w:jc w:val="left"/>
      </w:pPr>
      <w:r>
        <w:rPr/>
        <w:t xml:space="preserve">(b) Expand upon the successes of the 2017 tax structure work group by increasing outreach and involving more taxpayers in the conversation;</w:t>
      </w:r>
    </w:p>
    <w:p>
      <w:pPr>
        <w:spacing w:before="0" w:after="0" w:line="408" w:lineRule="exact"/>
        <w:ind w:left="0" w:right="0" w:firstLine="576"/>
        <w:jc w:val="left"/>
      </w:pPr>
      <w:r>
        <w:rPr/>
        <w:t xml:space="preserve">(c) Reevaluate the state tax structure, taking into particular consideration the modernizing economy and changing economic reality we currently face as individuals, communities, businesses, and the state;</w:t>
      </w:r>
    </w:p>
    <w:p>
      <w:pPr>
        <w:spacing w:before="0" w:after="0" w:line="408" w:lineRule="exact"/>
        <w:ind w:left="0" w:right="0" w:firstLine="576"/>
        <w:jc w:val="left"/>
      </w:pPr>
      <w:r>
        <w:rPr/>
        <w:t xml:space="preserve">(d) Develop alternatives to our current tax structure for consideration by taxpayers and policymakers, considering the principles of equity, adequacy, stability, and transparency, while also taking into consideration the effect on economic vitality and the harmony with neighboring state's tax system; and</w:t>
      </w:r>
    </w:p>
    <w:p>
      <w:pPr>
        <w:spacing w:before="0" w:after="0" w:line="408" w:lineRule="exact"/>
        <w:ind w:left="0" w:right="0" w:firstLine="576"/>
        <w:jc w:val="left"/>
      </w:pPr>
      <w:r>
        <w:rPr/>
        <w:t xml:space="preserve">(e) Recommend policies that consider the principles named in (d) of this subsection and reduce the tax burden on low-income and middle-class households and small, start-up, and low-margin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work group members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responsible for convening the meetings of the work group.</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work group are:</w:t>
      </w:r>
    </w:p>
    <w:p>
      <w:pPr>
        <w:spacing w:before="0" w:after="0" w:line="408" w:lineRule="exact"/>
        <w:ind w:left="0" w:right="0" w:firstLine="576"/>
        <w:jc w:val="left"/>
      </w:pPr>
      <w:r>
        <w:rPr/>
        <w:t xml:space="preserve">(a) Update the information contained in the final report of findings and alternatives submitted by the Washington state tax structure study committee to the legislature under section 138, chapter 7, Laws of 2001 2nd sp. sess., and investigate other matters that may be material to changing the state tax structure, such as those recommended in the final report of the 2018 tax structure work group; and</w:t>
      </w:r>
    </w:p>
    <w:p>
      <w:pPr>
        <w:spacing w:before="0" w:after="0" w:line="408" w:lineRule="exact"/>
        <w:ind w:left="0" w:right="0" w:firstLine="576"/>
        <w:jc w:val="left"/>
      </w:pPr>
      <w:r>
        <w:rPr/>
        <w:t xml:space="preserve">(b) Based on the update to the final report, provided in (a) of this subsection, and other information gathered by the work group, make recommendations to the legislature for changes to the state tax structure. Any recommendation provided by the work group may not result in a loss of revenue to the state as compared to the most recent biennial revenue forecast published by the economic and revenue forecast council.</w:t>
      </w:r>
    </w:p>
    <w:p>
      <w:pPr>
        <w:spacing w:before="0" w:after="0" w:line="408" w:lineRule="exact"/>
        <w:ind w:left="0" w:right="0" w:firstLine="576"/>
        <w:jc w:val="left"/>
      </w:pPr>
      <w:r>
        <w:rPr/>
        <w:t xml:space="preserve">(c) In making the recommendations under (b) of this subsection, the work group must be guided by the following principles for a well-designed tax system: Equity, adequacy, stability, and transparency.</w:t>
      </w:r>
    </w:p>
    <w:p>
      <w:pPr>
        <w:spacing w:before="0" w:after="0" w:line="408" w:lineRule="exact"/>
        <w:ind w:left="0" w:right="0" w:firstLine="576"/>
        <w:jc w:val="left"/>
      </w:pPr>
      <w:r>
        <w:rPr/>
        <w:t xml:space="preserve">(8) To assist the work group with its duties, the department of revenue must create one or more technical advisory group(s) that may include academic scholars from state research institutions or regional universities and other recognized experts in the fields of economics, taxation, business administration, public administration, public policy, or other relevant disciplines as determined by the department of revenue. It is the legislature's intent to include in a technical advisory group both experts in economic theory as well as tax law practitioners, such as certified public accountants, tax attorneys, and other tax preparation professionals.</w:t>
      </w:r>
    </w:p>
    <w:p>
      <w:pPr>
        <w:spacing w:before="0" w:after="0" w:line="408" w:lineRule="exact"/>
        <w:ind w:left="0" w:right="0" w:firstLine="576"/>
        <w:jc w:val="left"/>
      </w:pPr>
      <w:r>
        <w:rPr/>
        <w:t xml:space="preserve">(9) The work group must complete its duties on the following schedule:</w:t>
      </w:r>
    </w:p>
    <w:p>
      <w:pPr>
        <w:spacing w:before="0" w:after="0" w:line="408" w:lineRule="exact"/>
        <w:ind w:left="0" w:right="0" w:firstLine="576"/>
        <w:jc w:val="left"/>
      </w:pPr>
      <w:r>
        <w:rPr/>
        <w:t xml:space="preserve">(a) By July 1, 2020, the work group and technical advisory group must prepare a summary of their preliminary findings and alternatives, including:</w:t>
      </w:r>
    </w:p>
    <w:p>
      <w:pPr>
        <w:spacing w:before="0" w:after="0" w:line="408" w:lineRule="exact"/>
        <w:ind w:left="0" w:right="0" w:firstLine="576"/>
        <w:jc w:val="left"/>
      </w:pPr>
      <w:r>
        <w:rPr/>
        <w:t xml:space="preserve">(i) Updates to the findings and alternatives in the final report submitted by the Washington state tax structure study committee to the legislature under section 138, chapter 7, Laws of 2001 2nd sp. sess., to include current information and data, and to account for any of the original findings that have been addressed through legislation since the original submission of that report; and</w:t>
      </w:r>
    </w:p>
    <w:p>
      <w:pPr>
        <w:spacing w:before="0" w:after="0" w:line="408" w:lineRule="exact"/>
        <w:ind w:left="0" w:right="0" w:firstLine="576"/>
        <w:jc w:val="left"/>
      </w:pPr>
      <w:r>
        <w:rPr/>
        <w:t xml:space="preserve">(ii) Economic modeling or other comparable analysis addressing key challenges of the Washington state tax code (as reflected in the final report of the tax structure work group submitted on December 3, 2018, as required by chapter 1, Laws of 2017 3rd sp. sess. (Substitute Senate Bill No. 5883));</w:t>
      </w:r>
    </w:p>
    <w:p>
      <w:pPr>
        <w:spacing w:before="0" w:after="0" w:line="408" w:lineRule="exact"/>
        <w:ind w:left="0" w:right="0" w:firstLine="576"/>
        <w:jc w:val="left"/>
      </w:pPr>
      <w:r>
        <w:rPr/>
        <w:t xml:space="preserve">(b) Between July 1, 2020, and December 31, 2020, the work group must:</w:t>
      </w:r>
    </w:p>
    <w:p>
      <w:pPr>
        <w:spacing w:before="0" w:after="0" w:line="408" w:lineRule="exact"/>
        <w:ind w:left="0" w:right="0" w:firstLine="576"/>
        <w:jc w:val="left"/>
      </w:pPr>
      <w:r>
        <w:rPr/>
        <w:t xml:space="preserve">(i) Hold no less than two meetings in Olympia to review the preliminary report described in (a) of this subsection. Some of these meetings must include stakeholder groups. These stakeholder groups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Present the report described in (a) of this subsection with findings and alternatives related to changes to the state tax system, in compliance with RCW 43.01.036, to the appropriate committees of the legislature; and</w:t>
      </w:r>
    </w:p>
    <w:p>
      <w:pPr>
        <w:spacing w:before="0" w:after="0" w:line="408" w:lineRule="exact"/>
        <w:ind w:left="0" w:right="0" w:firstLine="576"/>
        <w:jc w:val="left"/>
      </w:pPr>
      <w:r>
        <w:rPr/>
        <w:t xml:space="preserve">(iii) Begin to plan strategies to engage taxpayers and key stakeholder groups to encourage participation in the public meetings described in (d)(ii) of this subsection;</w:t>
      </w:r>
    </w:p>
    <w:p>
      <w:pPr>
        <w:spacing w:before="0" w:after="0" w:line="408" w:lineRule="exact"/>
        <w:ind w:left="0" w:right="0" w:firstLine="576"/>
        <w:jc w:val="left"/>
      </w:pPr>
      <w:r>
        <w:rPr/>
        <w:t xml:space="preserve">(c) During the 2021 legislative session, the work group must:</w:t>
      </w:r>
    </w:p>
    <w:p>
      <w:pPr>
        <w:spacing w:before="0" w:after="0" w:line="408" w:lineRule="exact"/>
        <w:ind w:left="0" w:right="0" w:firstLine="576"/>
        <w:jc w:val="left"/>
      </w:pPr>
      <w:r>
        <w:rPr/>
        <w:t xml:space="preserve">(i)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report described in (a)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in the report described in (d) of this subsection, and collecting feedback to inform development of recommendations; and</w:t>
      </w:r>
    </w:p>
    <w:p>
      <w:pPr>
        <w:spacing w:before="0" w:after="0" w:line="408" w:lineRule="exact"/>
        <w:ind w:left="0" w:right="0" w:firstLine="576"/>
        <w:jc w:val="left"/>
      </w:pPr>
      <w:r>
        <w:rPr/>
        <w:t xml:space="preserve">(ii)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report and findings described in (a)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report described in (a)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reports described in (a)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 and</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(a) of this subsection and the feedback received from taxpayers as reflected in the 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(10)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(11)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(12)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(13)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03cc57d6cd6043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5d010fa299436c" /><Relationship Type="http://schemas.openxmlformats.org/officeDocument/2006/relationships/footer" Target="/word/footer1.xml" Id="R03cc57d6cd6043e0" /></Relationships>
</file>