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883659ec9a4a7e" /></Relationships>
</file>

<file path=word/document.xml><?xml version="1.0" encoding="utf-8"?>
<w:document xmlns:w="http://schemas.openxmlformats.org/wordprocessingml/2006/main">
  <w:body>
    <w:p>
      <w:r>
        <w:t>H-1667.1</w:t>
      </w:r>
    </w:p>
    <w:p>
      <w:pPr>
        <w:jc w:val="center"/>
      </w:pPr>
      <w:r>
        <w:t>_______________________________________________</w:t>
      </w:r>
    </w:p>
    <w:p/>
    <w:p>
      <w:pPr>
        <w:jc w:val="center"/>
      </w:pPr>
      <w:r>
        <w:rPr>
          <w:b/>
        </w:rPr>
        <w:t>HOUSE BILL 2064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Frame, Ortiz-Self, Goodman, Callan, Senn, Thai, and Davis</w:t>
      </w:r>
    </w:p>
    <w:p/>
    <w:p>
      <w:r>
        <w:rPr>
          <w:t xml:space="preserve">Read first time 02/15/19.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justice; amending RCW 13.40.020, 13.04.030, 13.40.0357, 13.40.110, 13.40.300, and 43.20C.020; adding new sections to chapter 72.05 RCW; adding new sections to chapter 13.40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expand the programming available to individuals serving a term of confinement in juvenile rehabilitation institutions to improve rehabilitation and public safety outcomes. The legislature also intends to correct sentencing and jurisdictional requirements related to chapter 162, Laws of 2018 (Engrossed Second Substitute Senate Bill No. 6160).</w:t>
      </w:r>
    </w:p>
    <w:p>
      <w:pPr>
        <w:spacing w:before="0" w:after="0" w:line="408" w:lineRule="exact"/>
        <w:ind w:left="0" w:right="0" w:firstLine="576"/>
        <w:jc w:val="left"/>
      </w:pPr>
      <w:r>
        <w:rPr/>
        <w:t xml:space="preserve">The legislature further intends to refine requirements for juvenile justice program funding for juvenile courts to improve the performance monitoring and technical assistance provided to juvenile courts.</w:t>
      </w:r>
    </w:p>
    <w:p>
      <w:pPr>
        <w:spacing w:before="0" w:after="0" w:line="408" w:lineRule="exact"/>
        <w:ind w:left="0" w:right="0" w:firstLine="576"/>
        <w:jc w:val="left"/>
      </w:pPr>
      <w:r>
        <w:rPr/>
        <w:t xml:space="preserve">The legislature intends to include rehabilitation services specially designed for individuals ages eighteen through twenty-five with criminal justice experience in the inventory of evidence-based, research-based, and promising practices produced by the Washington state institute for public policy and the evidence-based practice institute at the University of Washington.</w:t>
      </w:r>
    </w:p>
    <w:p>
      <w:pPr>
        <w:spacing w:before="0" w:after="0" w:line="408" w:lineRule="exact"/>
        <w:ind w:left="0" w:right="0" w:firstLine="576"/>
        <w:jc w:val="left"/>
      </w:pPr>
      <w:r>
        <w:rPr/>
        <w:t xml:space="preserve">To further improve outcomes for individuals served by the juvenile justice system and those providing those services, the legislature encourages the department of children, youth, and families to implement trauma informed practices in the training and responses provided to employees working in juvenile rehabilitation. The legislature further encourages the department of children, youth, and families to expand access to postsecondary education for individuals serving a term of confinement with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w:t>
      </w:r>
      <w:r>
        <w:rPr>
          <w:u w:val="single"/>
        </w:rPr>
        <w:t xml:space="preserve">family and youth development programs,</w:t>
      </w:r>
      <w:r>
        <w:rPr/>
        <w:t xml:space="preserve">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 </w:t>
      </w:r>
      <w:r>
        <w:rPr>
          <w:u w:val="single"/>
        </w:rPr>
        <w:t xml:space="preserve">and may be performed while an individual is serving confinement</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0" w:after="0" w:line="408" w:lineRule="exact"/>
        <w:ind w:left="0" w:right="0" w:firstLine="576"/>
        <w:jc w:val="left"/>
      </w:pPr>
      <w:r>
        <w:rPr>
          <w:u w:val="single"/>
        </w:rPr>
        <w:t xml:space="preserve">(39) "Community juvenile accountability act advisory committee" means a committee consisting of an equal number of representatives from the department and juvenile courts. The purpose of the committee is to provide oversight and structure to the juvenile courts in an effort to provide a continuum of research-based programs consistent with state law. The committee is cochaired by a representative from the department and a representative from the juvenile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w:t>
      </w:r>
      <w:r>
        <w:t>((</w:t>
      </w:r>
      <w:r>
        <w:rPr>
          <w:strike/>
        </w:rPr>
        <w:t xml:space="preserve">However, once the case is returned to juvenile court, the court may hold a decline hearing pursuant to RCW 13.40.110 to determine whether to retain the case in juvenile court for the purpose of disposition or return the case to adult criminal court for sentencing.</w:t>
      </w:r>
      <w:r>
        <w:t>))</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2018 c 162 s 3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500"/>
        <w:gridCol w:w="2300"/>
        <w:gridCol w:w="1240"/>
        <w:gridCol w:w="56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7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80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760" w:type="dxa"/>
            <w:vAlign w:val="top"/>
            <w:tcMar>
              <w:left w:w="0"/>
            </w:tcMar>
            <w:tcMar>
              <w:right w:w="0"/>
            </w:tcMar>
            <w:tcMar>
              <w:top w:w="0"/>
            </w:tcMar>
            <w:tcMar>
              <w:bottom w:w="0"/>
            </w:tcMar>
          </w:tcPr>
          <w:p>
            <w:pPr>
              <w:spacing w:before="0" w:after="0" w:line="408" w:lineRule="exact"/>
              <w:ind w:left="0" w:right="0" w:firstLine="0"/>
              <w:jc w:val="left"/>
            </w:pPr>
          </w:p>
        </w:tc>
        <w:tc>
          <w:tcPr>
            <w:gridSpan w:val="3"/>
            <w:tcW w:w="41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 Drug (69.41.030(2)(b))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 (9A.56.310)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w:t>
            </w:r>
            <w:r>
              <w:t>((</w:t>
            </w:r>
            <w:r>
              <w:rPr>
                <w:rFonts w:ascii="Times New Roman" w:hAnsi="Times New Roman"/>
                <w:strike/>
                <w:sz w:val="20"/>
              </w:rPr>
              <w:t xml:space="preserve">(iv)</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w:t>
            </w:r>
            <w:r>
              <w:t>((</w:t>
            </w:r>
            <w:r>
              <w:rPr>
                <w:rFonts w:ascii="Times New Roman" w:hAnsi="Times New Roman"/>
                <w:strike/>
                <w:sz w:val="20"/>
              </w:rPr>
              <w:t xml:space="preserve">age 21</w:t>
            </w:r>
            <w:r>
              <w:t>))</w:t>
            </w:r>
            <w:r>
              <w:rPr>
                <w:rFonts w:ascii="Times New Roman" w:hAnsi="Times New Roman"/>
                <w:sz w:val="20"/>
              </w:rPr>
              <w:t xml:space="preserve"> </w:t>
            </w:r>
            <w:r>
              <w:rPr>
                <w:rFonts w:ascii="Times New Roman" w:hAnsi="Times New Roman"/>
                <w:sz w:val="20"/>
                <w:u w:val="single"/>
              </w:rPr>
              <w:t xml:space="preserve">the maximum age of juvenile court jurisdiction</w:t>
            </w:r>
          </w:p>
          <w:p>
            <w:pPr>
              <w:spacing w:before="0" w:after="0" w:line="408" w:lineRule="exact"/>
              <w:ind w:left="0" w:right="0" w:firstLine="0"/>
              <w:jc w:val="center"/>
            </w:pPr>
            <w:r>
              <w:rPr>
                <w:rFonts w:ascii="Times New Roman" w:hAnsi="Times New Roman"/>
                <w:sz w:val="20"/>
              </w:rPr>
              <w:t xml:space="preserve">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2018 c 162 s 4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only if:</w:t>
      </w:r>
    </w:p>
    <w:p>
      <w:pPr>
        <w:spacing w:before="0" w:after="0" w:line="408" w:lineRule="exact"/>
        <w:ind w:left="0" w:right="0" w:firstLine="576"/>
        <w:jc w:val="left"/>
      </w:pPr>
      <w:r>
        <w:rPr/>
        <w:t xml:space="preserve">(a) The respondent is, at the time of proceedings, at least fifteen years of age or older and is charged with a serious violent offense as defined in RCW 9.94A.030; </w:t>
      </w:r>
      <w:r>
        <w:t>((</w:t>
      </w:r>
      <w:r>
        <w:rPr>
          <w:strike/>
        </w:rPr>
        <w:t xml:space="preserve">or</w:t>
      </w:r>
      <w:r>
        <w:t>))</w:t>
      </w:r>
    </w:p>
    <w:p>
      <w:pPr>
        <w:spacing w:before="0" w:after="0" w:line="408" w:lineRule="exact"/>
        <w:ind w:left="0" w:right="0" w:firstLine="576"/>
        <w:jc w:val="left"/>
      </w:pPr>
      <w:r>
        <w:rPr/>
        <w:t xml:space="preserve">(b) The respondent is, at the time of proceedings, fourteen years of age or younger and is charged with murder in the first degree (RCW 9A.32.030), and/or murder in the second degree (RCW 9A.32.050)</w:t>
      </w:r>
      <w:r>
        <w:rPr>
          <w:u w:val="single"/>
        </w:rPr>
        <w:t xml:space="preserve">; or</w:t>
      </w:r>
    </w:p>
    <w:p>
      <w:pPr>
        <w:spacing w:before="0" w:after="0" w:line="408" w:lineRule="exact"/>
        <w:ind w:left="0" w:right="0" w:firstLine="576"/>
        <w:jc w:val="left"/>
      </w:pPr>
      <w:r>
        <w:rPr>
          <w:u w:val="single"/>
        </w:rPr>
        <w:t xml:space="preserve">(c) The respondent is under age eighteen and: (i) Is charged with custodial assault under RCW 9A.36.100; (ii) has a criminal history which includes a prior conviction for custodial assault; and (iii) is serving a minimum juvenile sentence to age twenty-one or longer</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w:t>
      </w:r>
      <w:r>
        <w:rPr>
          <w:u w:val="single"/>
        </w:rPr>
        <w:t xml:space="preserve">that is not also an offense listed under RCW 13.04.030(1)(e)(v)</w:t>
      </w:r>
      <w:r>
        <w:rPr/>
        <w:t xml:space="preserve">, and an automatic extension is necessary to impose the </w:t>
      </w:r>
      <w:r>
        <w:rPr>
          <w:u w:val="single"/>
        </w:rPr>
        <w:t xml:space="preserve">juvenile</w:t>
      </w:r>
      <w:r>
        <w:rPr/>
        <w:t xml:space="preserv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020</w:t>
      </w:r>
      <w:r>
        <w:rPr/>
        <w:t xml:space="preserve"> and 2014 c 225 s 66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accomplish the following in consultation and collaboration with the Washington state institute for public policy, the evidence-based practice institute at the University of Washington, a university-based child welfare partnership and research entity, other national experts in the delivery of evidence-based services, and organizations representing Washington practitioners:</w:t>
      </w:r>
    </w:p>
    <w:p>
      <w:pPr>
        <w:spacing w:before="0" w:after="0" w:line="408" w:lineRule="exact"/>
        <w:ind w:left="0" w:right="0" w:firstLine="576"/>
        <w:jc w:val="left"/>
      </w:pPr>
      <w:r>
        <w:rPr/>
        <w:t xml:space="preserve">(1) </w:t>
      </w:r>
      <w:r>
        <w:t>((</w:t>
      </w:r>
      <w:r>
        <w:rPr>
          <w:strike/>
        </w:rPr>
        <w:t xml:space="preserve">By September 30, 2012,</w:t>
      </w:r>
      <w:r>
        <w:t>))</w:t>
      </w:r>
      <w:r>
        <w:rPr/>
        <w:t xml:space="preserve"> </w:t>
      </w:r>
      <w:r>
        <w:rPr>
          <w:u w:val="single"/>
        </w:rPr>
        <w:t xml:space="preserve">T</w:t>
      </w:r>
      <w:r>
        <w:rPr/>
        <w:t xml:space="preserve">he Washington state institute for public policy, the University of Washington evidence-based practice institute, in consultation with the department </w:t>
      </w:r>
      <w:r>
        <w:rPr>
          <w:u w:val="single"/>
        </w:rPr>
        <w:t xml:space="preserve">of social and health services, the department of children, youth, and families, and the health care authority,</w:t>
      </w:r>
      <w:r>
        <w:rPr/>
        <w:t xml:space="preserve"> shall publish descriptive definitions of evidence-based, research-based, and promising practices in the areas of child welfare, juvenile rehabilitation, </w:t>
      </w:r>
      <w:r>
        <w:rPr>
          <w:u w:val="single"/>
        </w:rPr>
        <w:t xml:space="preserve">rehabilitation services specially designed for individuals ages eighteen through twenty-five with criminal justice experience,</w:t>
      </w:r>
      <w:r>
        <w:rPr/>
        <w:t xml:space="preserve"> and children's mental health services.</w:t>
      </w:r>
    </w:p>
    <w:p>
      <w:pPr>
        <w:spacing w:before="0" w:after="0" w:line="408" w:lineRule="exact"/>
        <w:ind w:left="0" w:right="0" w:firstLine="576"/>
        <w:jc w:val="left"/>
      </w:pPr>
      <w:r>
        <w:rPr/>
        <w:t xml:space="preserve">(a) In addition to descriptive definitions, the Washington state institute for public policy and the University of Washington evidence-based practice institute must prepare an inventory of evidence-based, research-based, and promising practices for prevention and intervention services that will be used for the purpose of completing the baseline assessment described in subsection (2) of this section. The inventory shall be periodically updated as more practices are identified.</w:t>
      </w:r>
    </w:p>
    <w:p>
      <w:pPr>
        <w:spacing w:before="0" w:after="0" w:line="408" w:lineRule="exact"/>
        <w:ind w:left="0" w:right="0" w:firstLine="576"/>
        <w:jc w:val="left"/>
      </w:pPr>
      <w:r>
        <w:rPr/>
        <w:t xml:space="preserve">(b) In identifying evidence-based and research-based services, the Washington state institute for public policy and the University of Washington evidence-based practice institute must:</w:t>
      </w:r>
    </w:p>
    <w:p>
      <w:pPr>
        <w:spacing w:before="0" w:after="0" w:line="408" w:lineRule="exact"/>
        <w:ind w:left="0" w:right="0" w:firstLine="576"/>
        <w:jc w:val="left"/>
      </w:pPr>
      <w:r>
        <w:rPr/>
        <w:t xml:space="preserve">(i) Consider any available systemic evidence-based assessment of a program's efficacy and cost-effectiveness; and</w:t>
      </w:r>
    </w:p>
    <w:p>
      <w:pPr>
        <w:spacing w:before="0" w:after="0" w:line="408" w:lineRule="exact"/>
        <w:ind w:left="0" w:right="0" w:firstLine="576"/>
        <w:jc w:val="left"/>
      </w:pPr>
      <w:r>
        <w:rPr/>
        <w:t xml:space="preserve">(ii) Attempt to identify assessments that use valid and reliable evidence.</w:t>
      </w:r>
    </w:p>
    <w:p>
      <w:pPr>
        <w:spacing w:before="0" w:after="0" w:line="408" w:lineRule="exact"/>
        <w:ind w:left="0" w:right="0" w:firstLine="576"/>
        <w:jc w:val="left"/>
      </w:pPr>
      <w:r>
        <w:rPr/>
        <w:t xml:space="preserve">(c) Using state, federal, or private funds, the department</w:t>
      </w:r>
      <w:r>
        <w:rPr>
          <w:u w:val="single"/>
        </w:rPr>
        <w:t xml:space="preserve">s</w:t>
      </w:r>
      <w:r>
        <w:rPr/>
        <w:t xml:space="preserve"> shall prioritize the assessment of promising practices identified in (a) of this subsection with the goal of increasing the number of such practices that meet the standards for evidence-based and research-based practices.</w:t>
      </w:r>
    </w:p>
    <w:p>
      <w:pPr>
        <w:spacing w:before="0" w:after="0" w:line="408" w:lineRule="exact"/>
        <w:ind w:left="0" w:right="0" w:firstLine="576"/>
        <w:jc w:val="left"/>
      </w:pPr>
      <w:r>
        <w:rPr/>
        <w:t xml:space="preserve">(2) </w:t>
      </w:r>
      <w:r>
        <w:t>((</w:t>
      </w:r>
      <w:r>
        <w:rPr>
          <w:strike/>
        </w:rPr>
        <w:t xml:space="preserve">By June 30, 2013,</w:t>
      </w:r>
      <w:r>
        <w:t>))</w:t>
      </w:r>
      <w:r>
        <w:rPr/>
        <w:t xml:space="preserve"> </w:t>
      </w:r>
      <w:r>
        <w:rPr>
          <w:u w:val="single"/>
        </w:rPr>
        <w:t xml:space="preserve">T</w:t>
      </w:r>
      <w:r>
        <w:rPr/>
        <w:t xml:space="preserve">he department </w:t>
      </w:r>
      <w:r>
        <w:rPr>
          <w:u w:val="single"/>
        </w:rPr>
        <w:t xml:space="preserve">of social and health services, the department of children, youth, and families,</w:t>
      </w:r>
      <w:r>
        <w:rPr/>
        <w:t xml:space="preserve"> and the health care authority shall complete a baseline assessment of utilization of evidence-based and research-based practices in the areas of child welfare, juvenile rehabilitation, and children's mental health services. The assessment must include prevention and intervention services provided through medicaid fee-for-service and healthy options managed care contracts. The assessment shall include estimates of:</w:t>
      </w:r>
    </w:p>
    <w:p>
      <w:pPr>
        <w:spacing w:before="0" w:after="0" w:line="408" w:lineRule="exact"/>
        <w:ind w:left="0" w:right="0" w:firstLine="576"/>
        <w:jc w:val="left"/>
      </w:pPr>
      <w:r>
        <w:rPr/>
        <w:t xml:space="preserve">(a) The number of children receiving each service;</w:t>
      </w:r>
    </w:p>
    <w:p>
      <w:pPr>
        <w:spacing w:before="0" w:after="0" w:line="408" w:lineRule="exact"/>
        <w:ind w:left="0" w:right="0" w:firstLine="576"/>
        <w:jc w:val="left"/>
      </w:pPr>
      <w:r>
        <w:rPr/>
        <w:t xml:space="preserve">(b) For juvenile rehabilitation and child welfare services, the total amount of state and federal funds expended on the service;</w:t>
      </w:r>
    </w:p>
    <w:p>
      <w:pPr>
        <w:spacing w:before="0" w:after="0" w:line="408" w:lineRule="exact"/>
        <w:ind w:left="0" w:right="0" w:firstLine="576"/>
        <w:jc w:val="left"/>
      </w:pPr>
      <w:r>
        <w:rPr/>
        <w:t xml:space="preserve">(c) For children's mental health services, the number and percentage of encounters using these services that are provided to children served by behavioral health organizations and children receiving mental health services through medicaid fee-for-service or healthy options;</w:t>
      </w:r>
    </w:p>
    <w:p>
      <w:pPr>
        <w:spacing w:before="0" w:after="0" w:line="408" w:lineRule="exact"/>
        <w:ind w:left="0" w:right="0" w:firstLine="576"/>
        <w:jc w:val="left"/>
      </w:pPr>
      <w:r>
        <w:rPr/>
        <w:t xml:space="preserve">(d) The relative availability of the service in the various regions of the state; and</w:t>
      </w:r>
    </w:p>
    <w:p>
      <w:pPr>
        <w:spacing w:before="0" w:after="0" w:line="408" w:lineRule="exact"/>
        <w:ind w:left="0" w:right="0" w:firstLine="576"/>
        <w:jc w:val="left"/>
      </w:pPr>
      <w:r>
        <w:rPr/>
        <w:t xml:space="preserve">(e) To the extent possible, the unmet need for each service.</w:t>
      </w:r>
    </w:p>
    <w:p>
      <w:pPr>
        <w:spacing w:before="0" w:after="0" w:line="408" w:lineRule="exact"/>
        <w:ind w:left="0" w:right="0" w:firstLine="576"/>
        <w:jc w:val="left"/>
      </w:pPr>
      <w:r>
        <w:t>((</w:t>
      </w:r>
      <w:r>
        <w:rPr>
          <w:strike/>
        </w:rPr>
        <w:t xml:space="preserve">(3)(a) By December 30, 2013, the department and the health care authority shall report to the governor and to the appropriate fiscal and policy committees of the legislature on recommended strategies, timelines, and costs for increasing the use of evidence-based and research-based practices. The report must distinguish between a reallocation of existing funding to support the recommended strategies and new funding needed to increase the use of the practices.</w:t>
      </w:r>
    </w:p>
    <w:p>
      <w:pPr>
        <w:spacing w:before="0" w:after="0" w:line="408" w:lineRule="exact"/>
        <w:ind w:left="0" w:right="0" w:firstLine="576"/>
        <w:jc w:val="left"/>
      </w:pPr>
      <w:r>
        <w:rPr>
          <w:strike/>
        </w:rPr>
        <w:t xml:space="preserve">(b) The department shall provide updated recommendations to the governor and the legislature by December 30, 2014, and by December 30, 2015.</w:t>
      </w:r>
    </w:p>
    <w:p>
      <w:pPr>
        <w:spacing w:before="0" w:after="0" w:line="408" w:lineRule="exact"/>
        <w:ind w:left="0" w:right="0" w:firstLine="576"/>
        <w:jc w:val="left"/>
      </w:pPr>
      <w:r>
        <w:rPr>
          <w:strike/>
        </w:rPr>
        <w:t xml:space="preserve">(4)(a) The report required under subsection (3) of this section must include recommendations for the reallocation of resources for evidence-based and research-based practices and substantial increases above the baseline assessment of the use of evidence-based and research-based practices for the 2015-2017 and the 2017-2019 biennia. The recommendations for increases shall be consistent with subsection (2) of this section.</w:t>
      </w:r>
    </w:p>
    <w:p>
      <w:pPr>
        <w:spacing w:before="0" w:after="0" w:line="408" w:lineRule="exact"/>
        <w:ind w:left="0" w:right="0" w:firstLine="576"/>
        <w:jc w:val="left"/>
      </w:pPr>
      <w:r>
        <w:rPr>
          <w:strike/>
        </w:rPr>
        <w:t xml:space="preserve">(b) If the department or health care authority anticipates that it will not meet its recommended levels for an upcoming biennium as set forth in its report, it must report to the legislature by November 1st of the year preceding the biennium. The report shall include:</w:t>
      </w:r>
    </w:p>
    <w:p>
      <w:pPr>
        <w:spacing w:before="0" w:after="0" w:line="408" w:lineRule="exact"/>
        <w:ind w:left="0" w:right="0" w:firstLine="576"/>
        <w:jc w:val="left"/>
      </w:pPr>
      <w:r>
        <w:rPr>
          <w:strike/>
        </w:rPr>
        <w:t xml:space="preserve">(i) The identified impediments to meeting the recommended levels;</w:t>
      </w:r>
    </w:p>
    <w:p>
      <w:pPr>
        <w:spacing w:before="0" w:after="0" w:line="408" w:lineRule="exact"/>
        <w:ind w:left="0" w:right="0" w:firstLine="576"/>
        <w:jc w:val="left"/>
      </w:pPr>
      <w:r>
        <w:rPr>
          <w:strike/>
        </w:rPr>
        <w:t xml:space="preserve">(ii) The current and anticipated performance level; and</w:t>
      </w:r>
    </w:p>
    <w:p>
      <w:pPr>
        <w:spacing w:before="0" w:after="0" w:line="408" w:lineRule="exact"/>
        <w:ind w:left="0" w:right="0" w:firstLine="576"/>
        <w:jc w:val="left"/>
      </w:pPr>
      <w:r>
        <w:rPr>
          <w:strike/>
        </w:rPr>
        <w:t xml:space="preserve">(iii) Strategies that will be undertaken to improve performance.</w:t>
      </w:r>
    </w:p>
    <w:p>
      <w:pPr>
        <w:spacing w:before="0" w:after="0" w:line="408" w:lineRule="exact"/>
        <w:ind w:left="0" w:right="0" w:firstLine="576"/>
        <w:jc w:val="left"/>
      </w:pPr>
      <w:r>
        <w:rPr>
          <w:strike/>
        </w:rPr>
        <w:t xml:space="preserve">(5) Recommendations made pursuant to subsections (3) and (4) of this section must include strategies to identify programs that are effective with ethnically diverse clients and to consult with tribal governments, experts within ethnically diverse communities, and community organizations that serve diverse communities.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provide secure internet access to individuals serving a term of confinement with the department. The department shall develop rules to determine which individuals are eligible to use this secure internet and for ensuring that the secure internet used by individuals serving a term of confinement with the department is used appropriately.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in coordination with the consolidated technology services agency under chapter 43.105 RCW site testing to provide individuals serving a term of confinement with the department with access to digital learning through secure laptops.</w:t>
      </w:r>
    </w:p>
    <w:p>
      <w:pPr>
        <w:spacing w:before="0" w:after="0" w:line="408" w:lineRule="exact"/>
        <w:ind w:left="0" w:right="0" w:firstLine="576"/>
        <w:jc w:val="left"/>
      </w:pPr>
      <w:r>
        <w:rPr/>
        <w:t xml:space="preserve">(2) The site testing in this section must focus on providing individuals serving a term of confinement with the department with opportunities for credit retrieval, coursework leading toward high school graduation or the equivalent, and vocational education including certification.</w:t>
      </w:r>
    </w:p>
    <w:p>
      <w:pPr>
        <w:spacing w:before="0" w:after="0" w:line="408" w:lineRule="exact"/>
        <w:ind w:left="0" w:right="0" w:firstLine="576"/>
        <w:jc w:val="left"/>
      </w:pPr>
      <w:r>
        <w:rPr/>
        <w:t xml:space="preserve">(3) The department shall design the components of the site testing under this section by October 1, 2019, and shall implement the site testing from October 1, 2019, until July 1, 2021.</w:t>
      </w:r>
    </w:p>
    <w:p>
      <w:pPr>
        <w:spacing w:before="0" w:after="0" w:line="408" w:lineRule="exact"/>
        <w:ind w:left="0" w:right="0" w:firstLine="576"/>
        <w:jc w:val="left"/>
      </w:pPr>
      <w:r>
        <w:rPr/>
        <w:t xml:space="preserve">(4) The department shall provide a report to the legislature in compliance with RCW 43.01.036 by December 1, 2020, that includes a description of the site testing, the number of individuals serving a term of confinement with the department participating in the site testing, outcomes achieved by the site testing, and recommendations regarding expansion of the service.</w:t>
      </w:r>
    </w:p>
    <w:p>
      <w:pPr>
        <w:spacing w:before="0" w:after="0" w:line="408" w:lineRule="exact"/>
        <w:ind w:left="0" w:right="0" w:firstLine="576"/>
        <w:jc w:val="left"/>
      </w:pPr>
      <w:r>
        <w:rPr/>
        <w:t xml:space="preserve">(5) This section expires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provide mobile construction preapprenticeship training programs and postsecondary education opportunities to individuals serving a term of confinement with the department. The preapprenticeship training programs under this section must provide technical training with hands-on work experience.</w:t>
      </w:r>
    </w:p>
    <w:p>
      <w:pPr>
        <w:spacing w:before="0" w:after="0" w:line="408" w:lineRule="exact"/>
        <w:ind w:left="0" w:right="0" w:firstLine="576"/>
        <w:jc w:val="left"/>
      </w:pPr>
      <w:r>
        <w:rPr/>
        <w:t xml:space="preserve">(2) The department shall provide an annual report to the legislature in compliance with RCW 43.01.036 on December 1, 2020, regarding the preapprenticeship programs and postsecondary education opportunities provided to individuals serving a term of confinement with the department and any recommendations to support or expand these programs.</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 convene a background check work group to:</w:t>
      </w:r>
    </w:p>
    <w:p>
      <w:pPr>
        <w:spacing w:before="0" w:after="0" w:line="408" w:lineRule="exact"/>
        <w:ind w:left="0" w:right="0" w:firstLine="576"/>
        <w:jc w:val="left"/>
      </w:pPr>
      <w:r>
        <w:rPr/>
        <w:t xml:space="preserve">(a) Explore barriers imposed by background check requirements in state law including RCW 43.43.830 and in policy that prevent individuals with criminal history from providing mentoring to individuals serving a term of confinement with the department; and</w:t>
      </w:r>
    </w:p>
    <w:p>
      <w:pPr>
        <w:spacing w:before="0" w:after="0" w:line="408" w:lineRule="exact"/>
        <w:ind w:left="0" w:right="0" w:firstLine="576"/>
        <w:jc w:val="left"/>
      </w:pPr>
      <w:r>
        <w:rPr/>
        <w:t xml:space="preserve">(b) Consider whether an individual's certificate of restoration of opportunity under RCW 9.97.020 could be used to allow individuals with criminal history to provide mentoring to individuals serving a term of confinement with the department.</w:t>
      </w:r>
    </w:p>
    <w:p>
      <w:pPr>
        <w:spacing w:before="0" w:after="0" w:line="408" w:lineRule="exact"/>
        <w:ind w:left="0" w:right="0" w:firstLine="576"/>
        <w:jc w:val="left"/>
      </w:pPr>
      <w:r>
        <w:rPr/>
        <w:t xml:space="preserve">(2) The department shall convene the first meeting of the background check work group by August 31, 2019, and include:</w:t>
      </w:r>
    </w:p>
    <w:p>
      <w:pPr>
        <w:spacing w:before="0" w:after="0" w:line="408" w:lineRule="exact"/>
        <w:ind w:left="0" w:right="0" w:firstLine="576"/>
        <w:jc w:val="left"/>
      </w:pPr>
      <w:r>
        <w:rPr/>
        <w:t xml:space="preserve">(a) Representatives from the department;</w:t>
      </w:r>
    </w:p>
    <w:p>
      <w:pPr>
        <w:spacing w:before="0" w:after="0" w:line="408" w:lineRule="exact"/>
        <w:ind w:left="0" w:right="0" w:firstLine="576"/>
        <w:jc w:val="left"/>
      </w:pPr>
      <w:r>
        <w:rPr/>
        <w:t xml:space="preserve">(b) Individuals with previous or current experience with the juvenile justice system; and</w:t>
      </w:r>
    </w:p>
    <w:p>
      <w:pPr>
        <w:spacing w:before="0" w:after="0" w:line="408" w:lineRule="exact"/>
        <w:ind w:left="0" w:right="0" w:firstLine="576"/>
        <w:jc w:val="left"/>
      </w:pPr>
      <w:r>
        <w:rPr/>
        <w:t xml:space="preserve">(c) Representatives from a mentorship program that pairs mentors who have experience in the juvenile justice system and have successfully transformed their lives with young people currently involved with the juvenile justice system.</w:t>
      </w:r>
    </w:p>
    <w:p>
      <w:pPr>
        <w:spacing w:before="0" w:after="0" w:line="408" w:lineRule="exact"/>
        <w:ind w:left="0" w:right="0" w:firstLine="576"/>
        <w:jc w:val="left"/>
      </w:pPr>
      <w:r>
        <w:rPr/>
        <w:t xml:space="preserve">(3) The work group established under this section shall provide a report to the legislature by December 1, 2019, and in compliance with RCW 43.01.036 that outlines recommendations regarding changes to state law or policy that could support mentoring programs for individuals serving a term of confinement with the department.</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shall establish and convene an employment pathways work group to outline a workforce framework for individuals served by the juvenile rehabilitation division of the department. The first meeting of the work group established under this section must occur by August 31, 2019, and include:</w:t>
      </w:r>
    </w:p>
    <w:p>
      <w:pPr>
        <w:spacing w:before="0" w:after="0" w:line="408" w:lineRule="exact"/>
        <w:ind w:left="0" w:right="0" w:firstLine="576"/>
        <w:jc w:val="left"/>
      </w:pPr>
      <w:r>
        <w:rPr/>
        <w:t xml:space="preserve">(a) Representatives from the department;</w:t>
      </w:r>
    </w:p>
    <w:p>
      <w:pPr>
        <w:spacing w:before="0" w:after="0" w:line="408" w:lineRule="exact"/>
        <w:ind w:left="0" w:right="0" w:firstLine="576"/>
        <w:jc w:val="left"/>
      </w:pPr>
      <w:r>
        <w:rPr/>
        <w:t xml:space="preserve">(b) Individuals with previous or current experience with the juvenile justice system; and</w:t>
      </w:r>
    </w:p>
    <w:p>
      <w:pPr>
        <w:spacing w:before="0" w:after="0" w:line="408" w:lineRule="exact"/>
        <w:ind w:left="0" w:right="0" w:firstLine="576"/>
        <w:jc w:val="left"/>
      </w:pPr>
      <w:r>
        <w:rPr/>
        <w:t xml:space="preserve">(c) Workforce representatives including workforce development councils and agency partners.</w:t>
      </w:r>
    </w:p>
    <w:p>
      <w:pPr>
        <w:spacing w:before="0" w:after="0" w:line="408" w:lineRule="exact"/>
        <w:ind w:left="0" w:right="0" w:firstLine="576"/>
        <w:jc w:val="left"/>
      </w:pPr>
      <w:r>
        <w:rPr/>
        <w:t xml:space="preserve">(2) The work group shall provide a report to the legislature by December 1, 2019, that includes recommendations regarding a plan to: (a) Provide compensation to individuals receiving services through the juvenile rehabilitation division of the department; and (b) implement specific work-based learning positions that provide minimum wage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University of Washington shall convene an interdisciplinary work group to develop recommendations for updating policies that support the effective use of evidence-based services in juvenile justice, child welfare, children's mental health, and youth substance abuse and prevention services. The work group convened under this section must include representatives from:</w:t>
      </w:r>
    </w:p>
    <w:p>
      <w:pPr>
        <w:spacing w:before="0" w:after="0" w:line="408" w:lineRule="exact"/>
        <w:ind w:left="0" w:right="0" w:firstLine="576"/>
        <w:jc w:val="left"/>
      </w:pPr>
      <w:r>
        <w:rPr/>
        <w:t xml:space="preserve">(a) The Washington state institute for public policy;</w:t>
      </w:r>
    </w:p>
    <w:p>
      <w:pPr>
        <w:spacing w:before="0" w:after="0" w:line="408" w:lineRule="exact"/>
        <w:ind w:left="0" w:right="0" w:firstLine="576"/>
        <w:jc w:val="left"/>
      </w:pPr>
      <w:r>
        <w:rPr/>
        <w:t xml:space="preserve">(b) The Washington state center for court research of the administrative office of the courts;</w:t>
      </w:r>
    </w:p>
    <w:p>
      <w:pPr>
        <w:spacing w:before="0" w:after="0" w:line="408" w:lineRule="exact"/>
        <w:ind w:left="0" w:right="0" w:firstLine="576"/>
        <w:jc w:val="left"/>
      </w:pPr>
      <w:r>
        <w:rPr/>
        <w:t xml:space="preserve">(c) The community juvenile accountability act advisory committee cochairs;</w:t>
      </w:r>
    </w:p>
    <w:p>
      <w:pPr>
        <w:spacing w:before="0" w:after="0" w:line="408" w:lineRule="exact"/>
        <w:ind w:left="0" w:right="0" w:firstLine="576"/>
        <w:jc w:val="left"/>
      </w:pPr>
      <w:r>
        <w:rPr/>
        <w:t xml:space="preserve">(d) The Washington association of juvenile court administrators;</w:t>
      </w:r>
    </w:p>
    <w:p>
      <w:pPr>
        <w:spacing w:before="0" w:after="0" w:line="408" w:lineRule="exact"/>
        <w:ind w:left="0" w:right="0" w:firstLine="576"/>
        <w:jc w:val="left"/>
      </w:pPr>
      <w:r>
        <w:rPr/>
        <w:t xml:space="preserve">(e) The alcohol and drug abuse institute at the University of Washington;</w:t>
      </w:r>
    </w:p>
    <w:p>
      <w:pPr>
        <w:spacing w:before="0" w:after="0" w:line="408" w:lineRule="exact"/>
        <w:ind w:left="0" w:right="0" w:firstLine="576"/>
        <w:jc w:val="left"/>
      </w:pPr>
      <w:r>
        <w:rPr/>
        <w:t xml:space="preserve">(f) The department of children, youth, and families;</w:t>
      </w:r>
    </w:p>
    <w:p>
      <w:pPr>
        <w:spacing w:before="0" w:after="0" w:line="408" w:lineRule="exact"/>
        <w:ind w:left="0" w:right="0" w:firstLine="576"/>
        <w:jc w:val="left"/>
      </w:pPr>
      <w:r>
        <w:rPr/>
        <w:t xml:space="preserve">(g) The health care authority;</w:t>
      </w:r>
    </w:p>
    <w:p>
      <w:pPr>
        <w:spacing w:before="0" w:after="0" w:line="408" w:lineRule="exact"/>
        <w:ind w:left="0" w:right="0" w:firstLine="576"/>
        <w:jc w:val="left"/>
      </w:pPr>
      <w:r>
        <w:rPr/>
        <w:t xml:space="preserve">(h) Legislators;</w:t>
      </w:r>
    </w:p>
    <w:p>
      <w:pPr>
        <w:spacing w:before="0" w:after="0" w:line="408" w:lineRule="exact"/>
        <w:ind w:left="0" w:right="0" w:firstLine="576"/>
        <w:jc w:val="left"/>
      </w:pPr>
      <w:r>
        <w:rPr/>
        <w:t xml:space="preserve">(i) The office of innovation, alignment, and accountability under RCW 43.216.035;</w:t>
      </w:r>
    </w:p>
    <w:p>
      <w:pPr>
        <w:spacing w:before="0" w:after="0" w:line="408" w:lineRule="exact"/>
        <w:ind w:left="0" w:right="0" w:firstLine="576"/>
        <w:jc w:val="left"/>
      </w:pPr>
      <w:r>
        <w:rPr/>
        <w:t xml:space="preserve">(j) Individuals under age twenty-five with current or previous experience in the juvenile justice system;</w:t>
      </w:r>
    </w:p>
    <w:p>
      <w:pPr>
        <w:spacing w:before="0" w:after="0" w:line="408" w:lineRule="exact"/>
        <w:ind w:left="0" w:right="0" w:firstLine="576"/>
        <w:jc w:val="left"/>
      </w:pPr>
      <w:r>
        <w:rPr/>
        <w:t xml:space="preserve">(k) Community advocates; and</w:t>
      </w:r>
    </w:p>
    <w:p>
      <w:pPr>
        <w:spacing w:before="0" w:after="0" w:line="408" w:lineRule="exact"/>
        <w:ind w:left="0" w:right="0" w:firstLine="576"/>
        <w:jc w:val="left"/>
      </w:pPr>
      <w:r>
        <w:rPr/>
        <w:t xml:space="preserve">(l) Content experts internal and external to Washington state.</w:t>
      </w:r>
    </w:p>
    <w:p>
      <w:pPr>
        <w:spacing w:before="0" w:after="0" w:line="408" w:lineRule="exact"/>
        <w:ind w:left="0" w:right="0" w:firstLine="576"/>
        <w:jc w:val="left"/>
      </w:pPr>
      <w:r>
        <w:rPr/>
        <w:t xml:space="preserve">(2) The University of Washington must submit the findings and recommendations of the work group to the governor and the legislature by November 1, 2020.</w:t>
      </w:r>
    </w:p>
    <w:p>
      <w:pPr>
        <w:spacing w:before="0" w:after="0" w:line="408" w:lineRule="exact"/>
        <w:ind w:left="0" w:right="0" w:firstLine="576"/>
        <w:jc w:val="left"/>
      </w:pPr>
      <w:r>
        <w:rPr/>
        <w:t xml:space="preserve">(3) This section expires July 1, 2021.</w:t>
      </w:r>
    </w:p>
    <w:p/>
    <w:p>
      <w:pPr>
        <w:jc w:val="center"/>
      </w:pPr>
      <w:r>
        <w:rPr>
          <w:b/>
        </w:rPr>
        <w:t>--- END ---</w:t>
      </w:r>
    </w:p>
    <w:sectPr>
      <w:pgNumType w:start="1"/>
      <w:footerReference xmlns:r="http://schemas.openxmlformats.org/officeDocument/2006/relationships" r:id="Recb3b384a93340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31285ed6c4ea7" /><Relationship Type="http://schemas.openxmlformats.org/officeDocument/2006/relationships/footer" Target="/word/footer1.xml" Id="Recb3b384a933407f" /></Relationships>
</file>