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397272e18241ea" /></Relationships>
</file>

<file path=word/document.xml><?xml version="1.0" encoding="utf-8"?>
<w:document xmlns:w="http://schemas.openxmlformats.org/wordprocessingml/2006/main">
  <w:body>
    <w:p>
      <w:r>
        <w:t>H-1328.2</w:t>
      </w:r>
    </w:p>
    <w:p>
      <w:pPr>
        <w:jc w:val="center"/>
      </w:pPr>
      <w:r>
        <w:t>_______________________________________________</w:t>
      </w:r>
    </w:p>
    <w:p/>
    <w:p>
      <w:pPr>
        <w:jc w:val="center"/>
      </w:pPr>
      <w:r>
        <w:rPr>
          <w:b/>
        </w:rPr>
        <w:t>HOUSE BILL 2048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Pettigrew, Schmick, Vick, and Fey</w:t>
      </w:r>
    </w:p>
    <w:p/>
    <w:p>
      <w:r>
        <w:rPr>
          <w:t xml:space="preserve">Read first time 02/14/19.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inflation adjustments in nursing home payment rate setting; and amending RCW 74.46.561.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2017 c 286 s 2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or greater of statewide case mix neutral median costs, but shall be set so that a nursing home provider's direct care rate does not exceed one hundred eighteen percent of its base year's direct care allowable costs except if the provider is below the minimum staffing standard established in RCW 74.42.360(2). Direct care must be performance-adjusted for acuity every six months, using case mix principles. Direct care must be regionally adjusted using county 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RS 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RS means construction index value per square foot for Washington state. The department may use updated RS 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w:t>
      </w:r>
      <w:r>
        <w:t>((</w:t>
      </w:r>
      <w:r>
        <w:rPr>
          <w:strike/>
        </w:rPr>
        <w:t xml:space="preserve">FRV [fair rental value]</w:t>
      </w:r>
      <w:r>
        <w:t>))</w:t>
      </w:r>
      <w:r>
        <w:rPr/>
        <w:t xml:space="preserve"> </w:t>
      </w:r>
      <w:r>
        <w:rPr>
          <w:u w:val="single"/>
        </w:rPr>
        <w:t xml:space="preserve">fair rental value</w:t>
      </w:r>
      <w:r>
        <w:rPr/>
        <w:t xml:space="preserve"> rate is not less than ten dollars and eighty cents </w:t>
      </w:r>
      <w:r>
        <w:t>((</w:t>
      </w:r>
      <w:r>
        <w:rPr>
          <w:strike/>
        </w:rPr>
        <w:t xml:space="preserve">ppd [per patient day]</w:t>
      </w:r>
      <w:r>
        <w:t>))</w:t>
      </w:r>
      <w:r>
        <w:rPr/>
        <w:t xml:space="preserve"> </w:t>
      </w:r>
      <w:r>
        <w:rPr>
          <w:u w:val="single"/>
        </w:rPr>
        <w:t xml:space="preserve">per patient day</w:t>
      </w:r>
      <w:r>
        <w:rPr/>
        <w:t xml:space="preserve">.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CMS [centers for medicare and medicaid services] quality data. Point thresholds for each quality measure must be established using the corresponding statistical values for the quality measure </w:t>
      </w:r>
      <w:r>
        <w:t>((</w:t>
      </w:r>
      <w:r>
        <w:rPr>
          <w:strike/>
        </w:rPr>
        <w:t xml:space="preserve">(QM)</w:t>
      </w:r>
      <w:r>
        <w:t>))</w:t>
      </w:r>
      <w:r>
        <w:rPr/>
        <w:t xml:space="preserve"> point determinants of eighty </w:t>
      </w:r>
      <w:r>
        <w:t>((</w:t>
      </w:r>
      <w:r>
        <w:rPr>
          <w:strike/>
        </w:rPr>
        <w:t xml:space="preserve">QM</w:t>
      </w:r>
      <w:r>
        <w:t>))</w:t>
      </w:r>
      <w:r>
        <w:rPr/>
        <w:t xml:space="preserve"> </w:t>
      </w:r>
      <w:r>
        <w:rPr>
          <w:u w:val="single"/>
        </w:rPr>
        <w:t xml:space="preserve">quality measure</w:t>
      </w:r>
      <w:r>
        <w:rPr/>
        <w:t xml:space="preserve"> points, sixty </w:t>
      </w:r>
      <w:r>
        <w:t>((</w:t>
      </w:r>
      <w:r>
        <w:rPr>
          <w:strike/>
        </w:rPr>
        <w:t xml:space="preserve">QM</w:t>
      </w:r>
      <w:r>
        <w:t>))</w:t>
      </w:r>
      <w:r>
        <w:rPr/>
        <w:t xml:space="preserve"> </w:t>
      </w:r>
      <w:r>
        <w:rPr>
          <w:u w:val="single"/>
        </w:rPr>
        <w:t xml:space="preserve">quality measure</w:t>
      </w:r>
      <w:r>
        <w:rPr/>
        <w:t xml:space="preserve"> points, forty </w:t>
      </w:r>
      <w:r>
        <w:t>((</w:t>
      </w:r>
      <w:r>
        <w:rPr>
          <w:strike/>
        </w:rPr>
        <w:t xml:space="preserve">QM</w:t>
      </w:r>
      <w:r>
        <w:t>))</w:t>
      </w:r>
      <w:r>
        <w:rPr/>
        <w:t xml:space="preserve"> </w:t>
      </w:r>
      <w:r>
        <w:rPr>
          <w:u w:val="single"/>
        </w:rPr>
        <w:t xml:space="preserve">quality measure</w:t>
      </w:r>
      <w:r>
        <w:rPr/>
        <w:t xml:space="preserve"> points, and twenty </w:t>
      </w:r>
      <w:r>
        <w:t>((</w:t>
      </w:r>
      <w:r>
        <w:rPr>
          <w:strike/>
        </w:rPr>
        <w:t xml:space="preserve">QM</w:t>
      </w:r>
      <w:r>
        <w:t>))</w:t>
      </w:r>
      <w:r>
        <w:rPr/>
        <w:t xml:space="preserve"> </w:t>
      </w:r>
      <w:r>
        <w:rPr>
          <w:u w:val="single"/>
        </w:rPr>
        <w:t xml:space="preserve">quality measure</w:t>
      </w:r>
      <w:r>
        <w:rPr/>
        <w:t xml:space="preserve"> points, identified in the most recent available five-star quality rating system technical user's guide published by the center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CMS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CMS [centers for medicare and medicaid services]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CMS [centers for medicare and medicaid services]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 The direct care and indirect care components must be rebased </w:t>
      </w:r>
      <w:r>
        <w:t>((</w:t>
      </w:r>
      <w:r>
        <w:rPr>
          <w:strike/>
        </w:rPr>
        <w:t xml:space="preserve">in even-numbered years</w:t>
      </w:r>
      <w:r>
        <w:t>))</w:t>
      </w:r>
      <w:r>
        <w:rPr/>
        <w:t xml:space="preserve"> </w:t>
      </w:r>
      <w:r>
        <w:rPr>
          <w:u w:val="single"/>
        </w:rPr>
        <w:t xml:space="preserve">annually</w:t>
      </w:r>
      <w:r>
        <w:rPr/>
        <w:t xml:space="preserve">, beginning with rates paid on July 1, </w:t>
      </w:r>
      <w:r>
        <w:t>((</w:t>
      </w:r>
      <w:r>
        <w:rPr>
          <w:strike/>
        </w:rPr>
        <w:t xml:space="preserve">2016</w:t>
      </w:r>
      <w:r>
        <w:t>))</w:t>
      </w:r>
      <w:r>
        <w:rPr/>
        <w:t xml:space="preserve"> </w:t>
      </w:r>
      <w:r>
        <w:rPr>
          <w:u w:val="single"/>
        </w:rPr>
        <w:t xml:space="preserve">2019</w:t>
      </w:r>
      <w:r>
        <w:rPr/>
        <w:t xml:space="preserve">. Rates paid on July 1, </w:t>
      </w:r>
      <w:r>
        <w:t>((</w:t>
      </w:r>
      <w:r>
        <w:rPr>
          <w:strike/>
        </w:rPr>
        <w:t xml:space="preserve">2016</w:t>
      </w:r>
      <w:r>
        <w:t>))</w:t>
      </w:r>
      <w:r>
        <w:rPr/>
        <w:t xml:space="preserve"> </w:t>
      </w:r>
      <w:r>
        <w:rPr>
          <w:u w:val="single"/>
        </w:rPr>
        <w:t xml:space="preserve">2019</w:t>
      </w:r>
      <w:r>
        <w:rPr/>
        <w:t xml:space="preserve">, must be based on the </w:t>
      </w:r>
      <w:r>
        <w:t>((</w:t>
      </w:r>
      <w:r>
        <w:rPr>
          <w:strike/>
        </w:rPr>
        <w:t xml:space="preserve">2014</w:t>
      </w:r>
      <w:r>
        <w:t>))</w:t>
      </w:r>
      <w:r>
        <w:rPr/>
        <w:t xml:space="preserve"> </w:t>
      </w:r>
      <w:r>
        <w:rPr>
          <w:u w:val="single"/>
        </w:rPr>
        <w:t xml:space="preserve">2017</w:t>
      </w:r>
      <w:r>
        <w:rPr/>
        <w:t xml:space="preserve"> calendar year cost report. </w:t>
      </w:r>
      <w:r>
        <w:t>((</w:t>
      </w:r>
      <w:r>
        <w:rPr>
          <w:strike/>
        </w:rPr>
        <w:t xml:space="preserve">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r>
        <w:t>))</w:t>
      </w:r>
      <w:r>
        <w:rPr/>
        <w:t xml:space="preserve"> </w:t>
      </w:r>
      <w:r>
        <w:rPr>
          <w:u w:val="single"/>
        </w:rPr>
        <w:t xml:space="preserve">The cost report used for rate setting is known as the base year cost report. Cost report information must be adjusted to recognize inflation between the midpoint of the base year cost report and the beginning of the rate year. Separate inflation adjustments for the direct care and indirect care components must be based on the annual average rate of inflation as determined by the most recent twelve-month consumer price index for all urban consumers (CPI urban) as published by the United State bureau of labor statistics.</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
      <w:pPr>
        <w:jc w:val="center"/>
      </w:pPr>
      <w:r>
        <w:rPr>
          <w:b/>
        </w:rPr>
        <w:t>--- END ---</w:t>
      </w:r>
    </w:p>
    <w:sectPr>
      <w:pgNumType w:start="1"/>
      <w:footerReference xmlns:r="http://schemas.openxmlformats.org/officeDocument/2006/relationships" r:id="R2bf21cded6d840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1ce1476ec347a9" /><Relationship Type="http://schemas.openxmlformats.org/officeDocument/2006/relationships/footer" Target="/word/footer1.xml" Id="R2bf21cded6d840db" /></Relationships>
</file>