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14ce2393b4bf5" /></Relationships>
</file>

<file path=word/document.xml><?xml version="1.0" encoding="utf-8"?>
<w:document xmlns:w="http://schemas.openxmlformats.org/wordprocessingml/2006/main">
  <w:body>
    <w:p>
      <w:r>
        <w:t>H-1302.1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2010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Representatives Gildon, Walsh, Barkis, Hoff, Vick, Stokesbary, and Chambers</w:t>
      </w:r>
    </w:p>
    <w:p/>
    <w:p>
      <w:r>
        <w:rPr>
          <w:t xml:space="preserve">Read first time 02/11/19.  </w:t>
        </w:rPr>
      </w:r>
      <w:r>
        <w:rPr>
          <w:t xml:space="preserve">Referred to Committee on Housing, Community Development &amp; Veterans.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evaluating options for increasing involvement of for-profit housing developers in the nine percent low-income housing tax credit program; creating new sections;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finds that in order to address the housing shortage crisis in Washington, a more diverse mix of developers should have access to tax credit programs that incentivize the development of low-income housing. The legislature further finds that for-profit developers have greater incentive to keep development costs down. The legislature further finds that a report published by the joint legislative audit and review committee found that for-profit developers could develop the same unit at roughly eighty-seven percent of the cost as a nonprofit developer and roughly seventy-eight percent of the cost as a governmental agency. The legislature therefore intends to explore the feasibility of increasing the participation of for-profit developers in the housing finance commission's low-income housing tax credit program.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Washington state housing finance commission shall research and evaluate options by which to increase the participation of for-profit housing developers in the nine percent low-income housing tax credit program administered by the Washington state housing finance commission pursuant to 26 U.S.C. Sec. 42.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Washington state housing finance commission shall submit a report containing its findings under subsection (1) of this section to the relevant committees of the legislature by December 1, 2019.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expires December 31, 2019.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b2940c40af84610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2010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be4f8bd034dce" /><Relationship Type="http://schemas.openxmlformats.org/officeDocument/2006/relationships/footer" Target="/word/footer1.xml" Id="Rdb2940c40af84610" /></Relationships>
</file>