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146e3c2f946cf" /></Relationships>
</file>

<file path=word/document.xml><?xml version="1.0" encoding="utf-8"?>
<w:document xmlns:w="http://schemas.openxmlformats.org/wordprocessingml/2006/main">
  <w:body>
    <w:p>
      <w:r>
        <w:t>H-0632.1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1926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Volz, Riccelli, Graham, Vick, Walsh, McCaslin, Griffey, Barkis, Shea, and Ormsby</w:t>
      </w:r>
    </w:p>
    <w:p/>
    <w:p>
      <w:r>
        <w:rPr>
          <w:t xml:space="preserve">Read first time 02/06/19.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that usury laws apply to interest, penalties, and costs imposed on certain delinquent property taxes; and repealing RCW 19.52.140.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52</w:t>
      </w:r>
      <w:r>
        <w:rPr/>
        <w:t xml:space="preserve">.</w:t>
      </w:r>
      <w:r>
        <w:t xml:space="preserve">140</w:t>
      </w:r>
      <w:r>
        <w:rPr/>
        <w:t xml:space="preserve"> (Chapter not applicable to interest, penalties, or costs on delinquent property taxes) and 1981 c 322 s 8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33763a33689401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1926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45aa4a7ba47a6" /><Relationship Type="http://schemas.openxmlformats.org/officeDocument/2006/relationships/footer" Target="/word/footer1.xml" Id="Ra33763a336894019" /></Relationships>
</file>