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98b0185f164309" /></Relationships>
</file>

<file path=word/document.xml><?xml version="1.0" encoding="utf-8"?>
<w:document xmlns:w="http://schemas.openxmlformats.org/wordprocessingml/2006/main">
  <w:body>
    <w:p>
      <w:r>
        <w:t>H-2217.1</w:t>
      </w:r>
    </w:p>
    <w:p>
      <w:pPr>
        <w:jc w:val="center"/>
      </w:pPr>
      <w:r>
        <w:t>_______________________________________________</w:t>
      </w:r>
    </w:p>
    <w:p/>
    <w:p>
      <w:pPr>
        <w:jc w:val="center"/>
      </w:pPr>
      <w:r>
        <w:rPr>
          <w:b/>
        </w:rPr>
        <w:t>SECOND SUBSTITUTE HOUSE BILL 1923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Fitzgibbon, Macri, Appleton, Doglio, Dolan, Santos, and Frame)</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urban residential building capacity; amending RCW 36.70A.280, 36.70A.280, 36.70A.290, 36.70A.030, 43.21C.450, 70.146.070, 43.155.070, 47.26.086, 43.21C.420, 36.70A.490, and 82.02.060; adding new sections to chapter 36.70A RCW; adding a new section to chapter 43.21C RCW; adding a new section to chapter 35.21 RCW; adding a new section to chapter 35A.21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city planning pursuant to RCW 36.70A.040 with a population greater than ten thousand shall take two or more of the following actions by December 31, 2022, in order to increase its residential building capacity, while seeking to avoid displacement of vulnerable communities:</w:t>
      </w:r>
    </w:p>
    <w:p>
      <w:pPr>
        <w:spacing w:before="0" w:after="0" w:line="408" w:lineRule="exact"/>
        <w:ind w:left="0" w:right="0" w:firstLine="576"/>
        <w:jc w:val="left"/>
      </w:pPr>
      <w:r>
        <w:rPr/>
        <w:t xml:space="preserve">(a) Authorize development of an average of at least fifty residential units per acre in one or more areas of not fewer than five hundred acres that include one or more transit stations, as defined in RCW 9.91.025, served by commuter rail or light rail;</w:t>
      </w:r>
    </w:p>
    <w:p>
      <w:pPr>
        <w:spacing w:before="0" w:after="0" w:line="408" w:lineRule="exact"/>
        <w:ind w:left="0" w:right="0" w:firstLine="576"/>
        <w:jc w:val="left"/>
      </w:pPr>
      <w:r>
        <w:rPr/>
        <w:t xml:space="preserve">(b) Authorize development of an average of at least twenty-five residential units per acre in one or more areas of not fewer than five hundred acres that include one or more transit stations, as defined in RCW 9.91.025, served by scheduled bus service of at least four times per hour for twelve or more hours per day;</w:t>
      </w:r>
    </w:p>
    <w:p>
      <w:pPr>
        <w:spacing w:before="0" w:after="0" w:line="408" w:lineRule="exact"/>
        <w:ind w:left="0" w:right="0" w:firstLine="576"/>
        <w:jc w:val="left"/>
      </w:pPr>
      <w:r>
        <w:rPr/>
        <w:t xml:space="preserve">(c) Authorize at least one duplex, triplex,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Authorize cluster zoning or lot size averaging in all zoning districts that permit single-family residences;</w:t>
      </w:r>
    </w:p>
    <w:p>
      <w:pPr>
        <w:spacing w:before="0" w:after="0" w:line="408" w:lineRule="exact"/>
        <w:ind w:left="0" w:right="0" w:firstLine="576"/>
        <w:jc w:val="left"/>
      </w:pPr>
      <w:r>
        <w:rPr/>
        <w:t xml:space="preserve">(e) Require no more than one on-site parking space per two dwelling units in multifamily zones that are located within one-half mile of a fixed guideway transit station;</w:t>
      </w:r>
    </w:p>
    <w:p>
      <w:pPr>
        <w:spacing w:before="0" w:after="0" w:line="408" w:lineRule="exact"/>
        <w:ind w:left="0" w:right="0" w:firstLine="576"/>
        <w:jc w:val="left"/>
      </w:pPr>
      <w:r>
        <w:rPr/>
        <w:t xml:space="preserve">(f) Authorize accessory dwelling units on all lots located in zoning districts that permit single-family residences;</w:t>
      </w:r>
    </w:p>
    <w:p>
      <w:pPr>
        <w:spacing w:before="0" w:after="0" w:line="408" w:lineRule="exact"/>
        <w:ind w:left="0" w:right="0" w:firstLine="576"/>
        <w:jc w:val="left"/>
      </w:pPr>
      <w:r>
        <w:rPr/>
        <w:t xml:space="preserve">(g) Adopt a planned action pursuant to RCW 43.21C.420;</w:t>
      </w:r>
    </w:p>
    <w:p>
      <w:pPr>
        <w:spacing w:before="0" w:after="0" w:line="408" w:lineRule="exact"/>
        <w:ind w:left="0" w:right="0" w:firstLine="576"/>
        <w:jc w:val="left"/>
      </w:pPr>
      <w:r>
        <w:rPr/>
        <w:t xml:space="preserve">(h)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(i) Adopt increases in categorical exemptions pursuant to RCW 43.21C.229 for residential or mixed-use development;</w:t>
      </w:r>
    </w:p>
    <w:p>
      <w:pPr>
        <w:spacing w:before="0" w:after="0" w:line="408" w:lineRule="exact"/>
        <w:ind w:left="0" w:right="0" w:firstLine="576"/>
        <w:jc w:val="left"/>
      </w:pPr>
      <w:r>
        <w:rPr/>
        <w:t xml:space="preserve">(j) Adopt a policy to certify project permit applications as counter complete within fourteen days of submittal. "Counter complete" means a city official has determined that all elements necessary to begin processing a project permit application are present, but does not mean that the city has certified that all necessary information is present for full processing, nor does it mean that the application is a complete application for the purposes of RCW 36.70B.070;</w:t>
      </w:r>
    </w:p>
    <w:p>
      <w:pPr>
        <w:spacing w:before="0" w:after="0" w:line="408" w:lineRule="exact"/>
        <w:ind w:left="0" w:right="0" w:firstLine="576"/>
        <w:jc w:val="left"/>
      </w:pPr>
      <w:r>
        <w:rPr/>
        <w:t xml:space="preserve">(k) Adopt a form-based code in one or more zoning districts that permit residential uses. "Form-based code" means a land development regulation that uses physical form, rather than separation of use, as the organizing principle for the code; and</w:t>
      </w:r>
    </w:p>
    <w:p>
      <w:pPr>
        <w:spacing w:before="0" w:after="0" w:line="408" w:lineRule="exact"/>
        <w:ind w:left="0" w:right="0" w:firstLine="576"/>
        <w:jc w:val="left"/>
      </w:pPr>
      <w:r>
        <w:rPr/>
        <w:t xml:space="preserve">(l) Authorize a duplex on each corner lot within all zoning districts that permit single-family residences.</w:t>
      </w:r>
    </w:p>
    <w:p>
      <w:pPr>
        <w:spacing w:before="0" w:after="0" w:line="408" w:lineRule="exact"/>
        <w:ind w:left="0" w:right="0" w:firstLine="576"/>
        <w:jc w:val="left"/>
      </w:pPr>
      <w:r>
        <w:rPr/>
        <w:t xml:space="preserve">(2) A city planning pursuant to RCW 36.70A.040 with a population greater than ten thousand shall take one or more of the following actions by December 31, 2022, in order to increase housing affordability, while seeking to avoid displacement of vulnerable communities:</w:t>
      </w:r>
    </w:p>
    <w:p>
      <w:pPr>
        <w:spacing w:before="0" w:after="0" w:line="408" w:lineRule="exact"/>
        <w:ind w:left="0" w:right="0" w:firstLine="576"/>
        <w:jc w:val="left"/>
      </w:pPr>
      <w:r>
        <w:rPr/>
        <w:t xml:space="preserve">(a) Adopt an inclusionary zoning program, in which ten percent of the new housing capacity directed by this act consists of affordable housing;</w:t>
      </w:r>
    </w:p>
    <w:p>
      <w:pPr>
        <w:spacing w:before="0" w:after="0" w:line="408" w:lineRule="exact"/>
        <w:ind w:left="0" w:right="0" w:firstLine="576"/>
        <w:jc w:val="left"/>
      </w:pPr>
      <w:r>
        <w:rPr/>
        <w:t xml:space="preserve">(b) Provide surplus property to be used for affordable housing pursuant to RCW 39.33.015; or</w:t>
      </w:r>
    </w:p>
    <w:p>
      <w:pPr>
        <w:spacing w:before="0" w:after="0" w:line="408" w:lineRule="exact"/>
        <w:ind w:left="0" w:right="0" w:firstLine="576"/>
        <w:jc w:val="left"/>
      </w:pPr>
      <w:r>
        <w:rPr/>
        <w:t xml:space="preserve">(c) Enact an affordable housing levy pursuant to RCW 84.52.105.</w:t>
      </w:r>
    </w:p>
    <w:p>
      <w:pPr>
        <w:spacing w:before="0" w:after="0" w:line="408" w:lineRule="exact"/>
        <w:ind w:left="0" w:right="0" w:firstLine="576"/>
        <w:jc w:val="left"/>
      </w:pPr>
      <w:r>
        <w:rPr/>
        <w:t xml:space="preserve">(3) A city may rely on actions that take effect on or after January 1, 2013, for purposes of compliance with subsections (1) and (2) of this section.</w:t>
      </w:r>
    </w:p>
    <w:p>
      <w:pPr>
        <w:spacing w:before="0" w:after="0" w:line="408" w:lineRule="exact"/>
        <w:ind w:left="0" w:right="0" w:firstLine="576"/>
        <w:jc w:val="left"/>
      </w:pPr>
      <w:r>
        <w:rPr/>
        <w:t xml:space="preserve">(4) A city that is subject to subsections (1) and (2) of this section may choose instead to update the housing element of its comprehensive plan as required by section 2 of this act. A city that is subject to subsections (1) and (2) of this section that fails to comply with subsections (1) and (2) of this section by December 31, 2022, shall update the housing element of its comprehensive plan as required by section 2 of this act.</w:t>
      </w:r>
    </w:p>
    <w:p>
      <w:pPr>
        <w:spacing w:before="0" w:after="0" w:line="408" w:lineRule="exact"/>
        <w:ind w:left="0" w:right="0" w:firstLine="576"/>
        <w:jc w:val="left"/>
      </w:pPr>
      <w:r>
        <w:rPr/>
        <w:t xml:space="preserve">(5) Amendments to development regulations and other nonproject actions taken by a city to comply with subsections (1) and (2) of this section are categorically exempt from the requirements of chapter 43.21C RCW.</w:t>
      </w:r>
    </w:p>
    <w:p>
      <w:pPr>
        <w:spacing w:before="0" w:after="0" w:line="408" w:lineRule="exact"/>
        <w:ind w:left="0" w:right="0" w:firstLine="576"/>
        <w:jc w:val="left"/>
      </w:pPr>
      <w:r>
        <w:rPr/>
        <w:t xml:space="preserve">(6) A city that is subject to the requirements of subsections (1) and (2) of this section shall certify to the department once it has complied with the requirements of subsections (1) and (2) of this section.</w:t>
      </w:r>
    </w:p>
    <w:p>
      <w:pPr>
        <w:spacing w:before="0" w:after="0" w:line="408" w:lineRule="exact"/>
        <w:ind w:left="0" w:right="0" w:firstLine="576"/>
        <w:jc w:val="left"/>
      </w:pPr>
      <w:r>
        <w:rPr/>
        <w:t xml:space="preserve">(7) A city that is subject to the requirements of subsections (1) and (2) of this section that fails to comply with subsections (1) and (2) of this section by December 31, 2022, may not receive grants, loans, or any other form of funding from the following accounts until the city certifies to the funding authority, as part of its request for funding, that the city has complied with subsections (1) and (2) of this section: The public works assistance account established in RCW 43.155.050; the water quality capital account created in RCW 70.146.100; and the transportation improvement account created in RCW 47.26.084. A city that is subject to the requirements of subsections (1) and (2) of this section but that chooses instead to update the housing element of its comprehensive plan as required by section 2 of this act is not barred by this section from receiving grants, loans, or other forms of funding from these accounts.</w:t>
      </w:r>
    </w:p>
    <w:p>
      <w:pPr>
        <w:spacing w:before="0" w:after="0" w:line="408" w:lineRule="exact"/>
        <w:ind w:left="0" w:right="0" w:firstLine="576"/>
        <w:jc w:val="left"/>
      </w:pPr>
      <w:r>
        <w:rPr/>
        <w:t xml:space="preserve">(8) In meeting the requirements of subsections (1) and (2)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In addition to the requirements set forth in RCW 36.70A.070(2) for the housing element of a comprehensive plan, the cities described in subsection (2) of this section shall update the housing element of their comprehensive plan as described in subsection (3) of this section.</w:t>
      </w:r>
    </w:p>
    <w:p>
      <w:pPr>
        <w:spacing w:before="0" w:after="0" w:line="408" w:lineRule="exact"/>
        <w:ind w:left="0" w:right="0" w:firstLine="576"/>
        <w:jc w:val="left"/>
      </w:pPr>
      <w:r>
        <w:rPr/>
        <w:t xml:space="preserve">(2) This section applies to cities that are subject to section 1 (1) and (2) of this act but that fail to comply with the requirements of those subsections by December 31, 2022 or that choose to update the housing element of their comprehensive plan as described in this section in place of taking the actions described in section 1 (1) and (2) of this act.</w:t>
      </w:r>
    </w:p>
    <w:p>
      <w:pPr>
        <w:spacing w:before="0" w:after="0" w:line="408" w:lineRule="exact"/>
        <w:ind w:left="0" w:right="0" w:firstLine="576"/>
        <w:jc w:val="left"/>
      </w:pPr>
      <w:r>
        <w:rPr/>
        <w:t xml:space="preserve">(3) The housing element must:</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including housing stock condition, overcrowding, and comparison of level of payment with ability to pay;</w:t>
      </w:r>
    </w:p>
    <w:p>
      <w:pPr>
        <w:spacing w:before="0" w:after="0" w:line="408" w:lineRule="exact"/>
        <w:ind w:left="0" w:right="0" w:firstLine="576"/>
        <w:jc w:val="left"/>
      </w:pPr>
      <w:r>
        <w:rPr/>
        <w:t xml:space="preserve">(b) Include policies, regulations, and programs to conserve and preserve existing private market and subsidized affordable housing and existing manufactured home parks;</w:t>
      </w:r>
    </w:p>
    <w:p>
      <w:pPr>
        <w:spacing w:before="0" w:after="0" w:line="408" w:lineRule="exact"/>
        <w:ind w:left="0" w:right="0" w:firstLine="576"/>
        <w:jc w:val="left"/>
      </w:pPr>
      <w:r>
        <w:rPr/>
        <w:t xml:space="preserve">(c) In cities with populations of more than eighty thousand, include policies, regulations, and programs to minimize displacement;</w:t>
      </w:r>
    </w:p>
    <w:p>
      <w:pPr>
        <w:spacing w:before="0" w:after="0" w:line="408" w:lineRule="exact"/>
        <w:ind w:left="0" w:right="0" w:firstLine="576"/>
        <w:jc w:val="left"/>
      </w:pPr>
      <w:r>
        <w:rPr/>
        <w:t xml:space="preserve">(d) If the inventory in (a) of this subsection demonstrates a lack of sufficient sites to accommodate housing needs for extremely low-income, very low-income, and low-income households, include a program to make sufficient sites available at multifamily densities available for development;</w:t>
      </w:r>
    </w:p>
    <w:p>
      <w:pPr>
        <w:spacing w:before="0" w:after="0" w:line="408" w:lineRule="exact"/>
        <w:ind w:left="0" w:right="0" w:firstLine="576"/>
        <w:jc w:val="left"/>
      </w:pPr>
      <w:r>
        <w:rPr/>
        <w:t xml:space="preserve">(e) Analyze population and employment trends, with documentation of projections;</w:t>
      </w:r>
    </w:p>
    <w:p>
      <w:pPr>
        <w:spacing w:before="0" w:after="0" w:line="408" w:lineRule="exact"/>
        <w:ind w:left="0" w:right="0" w:firstLine="576"/>
        <w:jc w:val="left"/>
      </w:pPr>
      <w:r>
        <w:rPr/>
        <w:t xml:space="preserve">(f) Include an eight-year schedule of programs and actions to implement the policies of the housing element and to accommodate the planned housing units, including incentives and funding for affordable housing; and</w:t>
      </w:r>
    </w:p>
    <w:p>
      <w:pPr>
        <w:spacing w:before="0" w:after="0" w:line="408" w:lineRule="exact"/>
        <w:ind w:left="0" w:right="0" w:firstLine="576"/>
        <w:jc w:val="left"/>
      </w:pPr>
      <w:r>
        <w:rPr/>
        <w:t xml:space="preserve">(g) Review and evaluate the previous housing element, including an evaluation of success in attaining planned housing units, achievement of goals and policies, and implementation of the schedule of programs and actions.</w:t>
      </w:r>
    </w:p>
    <w:p>
      <w:pPr>
        <w:spacing w:before="0" w:after="0" w:line="408" w:lineRule="exact"/>
        <w:ind w:left="0" w:right="0" w:firstLine="576"/>
        <w:jc w:val="left"/>
      </w:pPr>
      <w:r>
        <w:rPr/>
        <w:t xml:space="preserve">(4) The housing element update described in subsection (3) of this section must be incorporated into the housing element of a city's comprehensive plan by the next regularly scheduled comprehensive plan update as provided in RCW 36.70A.130.</w:t>
      </w:r>
    </w:p>
    <w:p>
      <w:pPr>
        <w:spacing w:before="0" w:after="0" w:line="408" w:lineRule="exact"/>
        <w:ind w:left="0" w:right="0" w:firstLine="576"/>
        <w:jc w:val="left"/>
      </w:pPr>
      <w:r>
        <w:rPr/>
        <w:t xml:space="preserve">(5) The department shall review and, if compliant with the requirements of this section and any other applicable requirements within this chapter, approve the housing element of a city's comprehensive plan after each periodic review required under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p>
    <w:p>
      <w:pPr>
        <w:spacing w:before="0" w:after="0" w:line="408" w:lineRule="exact"/>
        <w:ind w:left="0" w:right="0" w:firstLine="576"/>
        <w:jc w:val="left"/>
      </w:pPr>
      <w:r>
        <w:rPr/>
        <w:t xml:space="preserve">(e) That a department certification under RCW 36.70A.735(1)(c) is erroneous; </w:t>
      </w:r>
      <w:r>
        <w:t>((</w:t>
      </w:r>
      <w:r>
        <w:rPr>
          <w:strike/>
        </w:rPr>
        <w:t xml:space="preserve">or</w:t>
      </w:r>
      <w:r>
        <w:t>))</w:t>
      </w:r>
    </w:p>
    <w:p>
      <w:pPr>
        <w:spacing w:before="0" w:after="0" w:line="408" w:lineRule="exact"/>
        <w:ind w:left="0" w:right="0" w:firstLine="576"/>
        <w:jc w:val="left"/>
      </w:pPr>
      <w:r>
        <w:rPr/>
        <w:t xml:space="preserve">(f) </w:t>
      </w:r>
      <w:r>
        <w:rPr>
          <w:u w:val="single"/>
        </w:rPr>
        <w:t xml:space="preserve">That a department certification of the housing element under section 2 of this act is erroneous; or</w:t>
      </w:r>
    </w:p>
    <w:p>
      <w:pPr>
        <w:spacing w:before="0" w:after="0" w:line="408" w:lineRule="exact"/>
        <w:ind w:left="0" w:right="0" w:firstLine="576"/>
        <w:jc w:val="left"/>
      </w:pPr>
      <w:r>
        <w:rPr>
          <w:u w:val="single"/>
        </w:rPr>
        <w:t xml:space="preserve">(g)</w:t>
      </w:r>
      <w:r>
        <w:rPr/>
        <w:t xml:space="preserve"> That a department determination under RCW 36.70A.060(1)(d)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a department certification of the housing element under section 2 of this act is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290</w:t>
      </w:r>
      <w:r>
        <w:rPr/>
        <w:t xml:space="preserve"> and 2011 c 277 s 1 are each amended to read as follows:</w:t>
      </w:r>
    </w:p>
    <w:p>
      <w:pPr>
        <w:spacing w:before="0" w:after="0" w:line="408" w:lineRule="exact"/>
        <w:ind w:left="0" w:right="0" w:firstLine="576"/>
        <w:jc w:val="left"/>
      </w:pPr>
      <w:r>
        <w:rPr/>
        <w:t xml:space="preserve">(1) All requests for review to the growth management hearings board shall be initiated by filing a petition that includes a detailed statement of issues presented for resolution by the board. The board shall render written decisions articulating the basis for its holdings. The board shall not issue advisory opinions on issues not presented to the board in the statement of issues, as modified by any prehearing order.</w:t>
      </w:r>
    </w:p>
    <w:p>
      <w:pPr>
        <w:spacing w:before="0" w:after="0" w:line="408" w:lineRule="exact"/>
        <w:ind w:left="0" w:right="0" w:firstLine="576"/>
        <w:jc w:val="left"/>
      </w:pPr>
      <w:r>
        <w:rPr/>
        <w:t xml:space="preserve">(2) All petitions relating to whether or not an adopted comprehensive plan, development regulation, or permanent amendment thereto, is in compliance with the goals and requirements of this chapter or chapter 90.58 or 43.21C RCW must be filed within sixty days after publication as provided in (a) through (c) of this subsection.</w:t>
      </w:r>
    </w:p>
    <w:p>
      <w:pPr>
        <w:spacing w:before="0" w:after="0" w:line="408" w:lineRule="exact"/>
        <w:ind w:left="0" w:right="0" w:firstLine="576"/>
        <w:jc w:val="left"/>
      </w:pPr>
      <w:r>
        <w:rPr/>
        <w:t xml:space="preserve">(a) Except as provided in (c) of this subsection, the date of publication for a city shall be the date the city publishes the ordinance, or summary of the ordinance, adopting the comprehensive plan or development regulations, or amendment thereto, as is required to be published.</w:t>
      </w:r>
    </w:p>
    <w:p>
      <w:pPr>
        <w:spacing w:before="0" w:after="0" w:line="408" w:lineRule="exact"/>
        <w:ind w:left="0" w:right="0" w:firstLine="576"/>
        <w:jc w:val="left"/>
      </w:pPr>
      <w:r>
        <w:rPr/>
        <w:t xml:space="preserve">(b) Promptly after adoption, a county shall publish a notice that it has adopted the comprehensive plan or development regulations, or amendment thereto.</w:t>
      </w:r>
    </w:p>
    <w:p>
      <w:pPr>
        <w:spacing w:before="0" w:after="0" w:line="408" w:lineRule="exact"/>
        <w:ind w:left="0" w:right="0" w:firstLine="576"/>
        <w:jc w:val="left"/>
      </w:pPr>
      <w:r>
        <w:rPr/>
        <w:t xml:space="preserve">Except as provided in (c) of this subsection, for purposes of this section the date of publication for a county shall be the date the county publishes the notice that it has adopted the comprehensive plan or development regulations, or amendment thereto.</w:t>
      </w:r>
    </w:p>
    <w:p>
      <w:pPr>
        <w:spacing w:before="0" w:after="0" w:line="408" w:lineRule="exact"/>
        <w:ind w:left="0" w:right="0" w:firstLine="576"/>
        <w:jc w:val="left"/>
      </w:pPr>
      <w:r>
        <w:rPr/>
        <w:t xml:space="preserve">(c) For local governments planning under RCW 36.70A.040, promptly after approval or disapproval of a local government's shoreline master program or amendment thereto by the department of ecology as provided in RCW 90.58.090, the department of ecology shall publish a notice that the shoreline master program or amendment thereto has been approved or disapproved. For purposes of this section, the date of publication for the adoption or amendment of a shoreline master program is the date the department of ecology publishes notice that the shoreline master program or amendment thereto has been approved or disapproved.</w:t>
      </w:r>
    </w:p>
    <w:p>
      <w:pPr>
        <w:spacing w:before="0" w:after="0" w:line="408" w:lineRule="exact"/>
        <w:ind w:left="0" w:right="0" w:firstLine="576"/>
        <w:jc w:val="left"/>
      </w:pPr>
      <w:r>
        <w:rPr>
          <w:u w:val="single"/>
        </w:rPr>
        <w:t xml:space="preserve">(d) For local governments planning under RCW 36.70A.040, promptly after approval or disapproval of a local government's housing element by the department as provided in section 2 of this act, the department shall publish a notice that the housing element has been approved or disapproved. For purposes of this section, the date of publication for the adoption or amendment of a housing element is the date that the department publishes notice that the housing element has been approved or disapproved.</w:t>
      </w:r>
    </w:p>
    <w:p>
      <w:pPr>
        <w:spacing w:before="0" w:after="0" w:line="408" w:lineRule="exact"/>
        <w:ind w:left="0" w:right="0" w:firstLine="576"/>
        <w:jc w:val="left"/>
      </w:pPr>
      <w:r>
        <w:rPr/>
        <w:t xml:space="preserve">(3) Unless the board dismisses the petition as frivolous or finds that the person filing the petition lacks standing, or the parties have filed an agreement to have the case heard in superior court as provided in RCW 36.70A.295, the board shall, within ten days of receipt of the petition, set a time for hearing the matter.</w:t>
      </w:r>
    </w:p>
    <w:p>
      <w:pPr>
        <w:spacing w:before="0" w:after="0" w:line="408" w:lineRule="exact"/>
        <w:ind w:left="0" w:right="0" w:firstLine="576"/>
        <w:jc w:val="left"/>
      </w:pPr>
      <w:r>
        <w:rPr/>
        <w:t xml:space="preserve">(4) The board shall base its decision on the record developed by the city, county, or the state and supplemented with additional evidence if the board determines that such additional evidence would be necessary or of substantial assistance to the board in reaching its decision.</w:t>
      </w:r>
    </w:p>
    <w:p>
      <w:pPr>
        <w:spacing w:before="0" w:after="0" w:line="408" w:lineRule="exact"/>
        <w:ind w:left="0" w:right="0" w:firstLine="576"/>
        <w:jc w:val="left"/>
      </w:pPr>
      <w:r>
        <w:rPr/>
        <w:t xml:space="preserve">(5) The board, shall consolidate, when appropriate, all petitions involving the review of the same comprehensive plan or the same development regulation or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2017 3rd sp.s.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(11)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(12) "Minerals" include gravel, sand, and valuable metallic substances.</w:t>
      </w:r>
    </w:p>
    <w:p>
      <w:pPr>
        <w:spacing w:before="0" w:after="0" w:line="408" w:lineRule="exact"/>
        <w:ind w:left="0" w:right="0" w:firstLine="576"/>
        <w:jc w:val="left"/>
      </w:pPr>
      <w:r>
        <w:rPr/>
        <w:t xml:space="preserve">(13)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(14)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(15)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(16)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(17)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(18)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t xml:space="preserve">(20)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(21)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(22) "Urban growth areas" means those areas designated by a county pursuant to RCW 36.70A.110.</w:t>
      </w:r>
    </w:p>
    <w:p>
      <w:pPr>
        <w:spacing w:before="0" w:after="0" w:line="408" w:lineRule="exact"/>
        <w:ind w:left="0" w:right="0" w:firstLine="576"/>
        <w:jc w:val="left"/>
      </w:pPr>
      <w:r>
        <w:rPr/>
        <w:t xml:space="preserve">(23)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(24) "Affordable housing" means, unless the context clearly indicates otherwise, residential housing whose monthly costs, including utilities other than telephone, do not exceed thirty percent of the monthly income of a household whose income is sixty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(25)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(27)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450</w:t>
      </w:r>
      <w:r>
        <w:rPr/>
        <w:t xml:space="preserve"> and 2012 1st sp.s. c 1 s 307 are each amended to read as follows:</w:t>
      </w:r>
    </w:p>
    <w:p>
      <w:pPr>
        <w:spacing w:before="0" w:after="0" w:line="408" w:lineRule="exact"/>
        <w:ind w:left="0" w:right="0" w:firstLine="576"/>
        <w:jc w:val="left"/>
      </w:pPr>
      <w:r>
        <w:rPr/>
        <w:t xml:space="preserve">The following nonproject actions are categorically exempt from the requirements of this chapter:</w:t>
      </w:r>
    </w:p>
    <w:p>
      <w:pPr>
        <w:spacing w:before="0" w:after="0" w:line="408" w:lineRule="exact"/>
        <w:ind w:left="0" w:right="0" w:firstLine="576"/>
        <w:jc w:val="left"/>
      </w:pPr>
      <w:r>
        <w:rPr/>
        <w:t xml:space="preserve">(1) Amendments to development regulations that are required to ensure consistency with an adopted comprehensive plan pursuant to RCW 36.70A.040, where the comprehensive plan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(2) Amendments to development regulations that are required to ensure consistency with a shoreline master program approved pursuant to RCW 90.58.090, where the shoreline master program was previously subjected to environmental review pursuant to this chapter and the impacts associated with the proposed regulation were specifically addressed in the prior environmental review;</w:t>
      </w:r>
    </w:p>
    <w:p>
      <w:pPr>
        <w:spacing w:before="0" w:after="0" w:line="408" w:lineRule="exact"/>
        <w:ind w:left="0" w:right="0" w:firstLine="576"/>
        <w:jc w:val="left"/>
      </w:pPr>
      <w:r>
        <w:rPr/>
        <w:t xml:space="preserve">(3) Amendments to development regulations that, upon implementation of a project action, will provide increased environmental protection, limited to the following:</w:t>
      </w:r>
    </w:p>
    <w:p>
      <w:pPr>
        <w:spacing w:before="0" w:after="0" w:line="408" w:lineRule="exact"/>
        <w:ind w:left="0" w:right="0" w:firstLine="576"/>
        <w:jc w:val="left"/>
      </w:pPr>
      <w:r>
        <w:rPr/>
        <w:t xml:space="preserve">(a) Increased protections for critical areas, such as enhanced buffers or setbacks;</w:t>
      </w:r>
    </w:p>
    <w:p>
      <w:pPr>
        <w:spacing w:before="0" w:after="0" w:line="408" w:lineRule="exact"/>
        <w:ind w:left="0" w:right="0" w:firstLine="576"/>
        <w:jc w:val="left"/>
      </w:pPr>
      <w:r>
        <w:rPr/>
        <w:t xml:space="preserve">(b) Increased vegetation retention or decreased impervious surface areas in shoreline jurisdiction; and</w:t>
      </w:r>
    </w:p>
    <w:p>
      <w:pPr>
        <w:spacing w:before="0" w:after="0" w:line="408" w:lineRule="exact"/>
        <w:ind w:left="0" w:right="0" w:firstLine="576"/>
        <w:jc w:val="left"/>
      </w:pPr>
      <w:r>
        <w:rPr/>
        <w:t xml:space="preserve">(c) Increased vegetation retention or decreased impervious surface areas in critical areas;</w:t>
      </w:r>
    </w:p>
    <w:p>
      <w:pPr>
        <w:spacing w:before="0" w:after="0" w:line="408" w:lineRule="exact"/>
        <w:ind w:left="0" w:right="0" w:firstLine="576"/>
        <w:jc w:val="left"/>
      </w:pPr>
      <w:r>
        <w:rPr/>
        <w:t xml:space="preserve">(4) Amendments to technical codes adopted by a county, city, or town to ensure consistency with minimum standards contained in state law, including the following:</w:t>
      </w:r>
    </w:p>
    <w:p>
      <w:pPr>
        <w:spacing w:before="0" w:after="0" w:line="408" w:lineRule="exact"/>
        <w:ind w:left="0" w:right="0" w:firstLine="576"/>
        <w:jc w:val="left"/>
      </w:pPr>
      <w:r>
        <w:rPr/>
        <w:t xml:space="preserve">(a) Building codes required by chapter 19.27 RCW;</w:t>
      </w:r>
    </w:p>
    <w:p>
      <w:pPr>
        <w:spacing w:before="0" w:after="0" w:line="408" w:lineRule="exact"/>
        <w:ind w:left="0" w:right="0" w:firstLine="576"/>
        <w:jc w:val="left"/>
      </w:pPr>
      <w:r>
        <w:rPr/>
        <w:t xml:space="preserve">(b) Energy codes required by chapter 19.27A RCW; and</w:t>
      </w:r>
    </w:p>
    <w:p>
      <w:pPr>
        <w:spacing w:before="0" w:after="0" w:line="408" w:lineRule="exact"/>
        <w:ind w:left="0" w:right="0" w:firstLine="576"/>
        <w:jc w:val="left"/>
      </w:pPr>
      <w:r>
        <w:rPr/>
        <w:t xml:space="preserve">(c) Electrical codes required by chapter 19.28 RCW</w:t>
      </w:r>
      <w:r>
        <w:rPr>
          <w:u w:val="single"/>
        </w:rPr>
        <w:t xml:space="preserve">;</w:t>
      </w:r>
    </w:p>
    <w:p>
      <w:pPr>
        <w:spacing w:before="0" w:after="0" w:line="408" w:lineRule="exact"/>
        <w:ind w:left="0" w:right="0" w:firstLine="576"/>
        <w:jc w:val="left"/>
      </w:pPr>
      <w:r>
        <w:rPr>
          <w:u w:val="single"/>
        </w:rPr>
        <w:t xml:space="preserve">(5) Amendments to development regulations in order to comply with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are subject to the following requirements:</w:t>
      </w:r>
    </w:p>
    <w:p>
      <w:pPr>
        <w:spacing w:before="0" w:after="0" w:line="408" w:lineRule="exact"/>
        <w:ind w:left="0" w:right="0" w:firstLine="576"/>
        <w:jc w:val="left"/>
      </w:pPr>
      <w:r>
        <w:rPr/>
        <w:t xml:space="preserve">(1) For affordable housing units that are located within one-quarter mile of a transit stop that receives transit service at least four times per hour for twelve or more hours per day, minimum residential parking requirements may be no greater than one parking space per bedroom.</w:t>
      </w:r>
    </w:p>
    <w:p>
      <w:pPr>
        <w:spacing w:before="0" w:after="0" w:line="408" w:lineRule="exact"/>
        <w:ind w:left="0" w:right="0" w:firstLine="576"/>
        <w:jc w:val="left"/>
      </w:pPr>
      <w:r>
        <w:rPr/>
        <w:t xml:space="preserve">(2) For housing units that are specifically for seniors or people with disabilities, that are located within one-quarter mile of a transit stop that receives transit service at least four times per hour for twelve or more hours per day, no minimum residential parking requirement may be imposed.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146</w:t>
      </w:r>
      <w:r>
        <w:rPr/>
        <w:t xml:space="preserve">.</w:t>
      </w:r>
      <w:r>
        <w:t xml:space="preserve">070</w:t>
      </w:r>
      <w:r>
        <w:rPr/>
        <w:t xml:space="preserve"> and 2013 c 275 s 4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70.146.110,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70.146.120, and effective one calendar year following the development and statewide availability of model evergreen community management plans and ordinances under RCW 35.105.050, whether the project is sponsored by an entity that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and</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rPr>
          <w:u w:val="single"/>
        </w:rPr>
        <w:t xml:space="preserve">The department may not award a grant or loan for a public facility located in a city subject to the requirements of section 1 (1) and (2) of this act unless the city has certified to the department that it is in compliance with section 1 (1) and (2) of this act.</w:t>
      </w:r>
    </w:p>
    <w:p>
      <w:pPr>
        <w:spacing w:before="0" w:after="0" w:line="408" w:lineRule="exact"/>
        <w:ind w:left="0" w:right="0" w:firstLine="576"/>
        <w:jc w:val="left"/>
      </w:pPr>
      <w:r>
        <w:rPr>
          <w:u w:val="single"/>
        </w:rPr>
        <w:t xml:space="preserve">(5)</w:t>
      </w:r>
      <w:r>
        <w:rPr/>
        <w:t xml:space="preserve">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2017 3rd sp.s. c 10 s 9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w:t>
      </w:r>
      <w:r>
        <w:rPr>
          <w:u w:val="single"/>
        </w:rPr>
        <w:t xml:space="preserve">The board may not award financial assistance for a proposed facility located in a city subject to the requirements of section 1 (1) and (2) of this act unless the city has certified to the board that it is in compliance with section 1 (1) and (2) of this act.</w:t>
      </w:r>
    </w:p>
    <w:p>
      <w:pPr>
        <w:spacing w:before="0" w:after="0" w:line="408" w:lineRule="exact"/>
        <w:ind w:left="0" w:right="0" w:firstLine="576"/>
        <w:jc w:val="left"/>
      </w:pPr>
      <w:r>
        <w:rPr>
          <w:u w:val="single"/>
        </w:rPr>
        <w:t xml:space="preserve">(5)</w:t>
      </w:r>
      <w:r>
        <w:rPr/>
        <w:t xml:space="preserve">(a) The board must develop a process to prioritize applications and funding of loans and grants for public works projects submitted by local governments. The board must consider, at a minimum and in any order, the following factors in prioritizing projects:</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 as applicable;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and transportation; and</w:t>
      </w:r>
    </w:p>
    <w:p>
      <w:pPr>
        <w:spacing w:before="0" w:after="0" w:line="408" w:lineRule="exact"/>
        <w:ind w:left="0" w:right="0" w:firstLine="576"/>
        <w:jc w:val="left"/>
      </w:pPr>
      <w:r>
        <w:rPr/>
        <w:t xml:space="preserve">(G) Reduction of the overall cost of public infrastructure;</w:t>
      </w:r>
    </w:p>
    <w:p>
      <w:pPr>
        <w:spacing w:before="0" w:after="0" w:line="408" w:lineRule="exact"/>
        <w:ind w:left="0" w:right="0" w:firstLine="576"/>
        <w:jc w:val="left"/>
      </w:pPr>
      <w:r>
        <w:rPr/>
        <w:t xml:space="preserve">(xi) Whether the applicant sought or is seeking funding for the project from other sources; and</w:t>
      </w:r>
    </w:p>
    <w:p>
      <w:pPr>
        <w:spacing w:before="0" w:after="0" w:line="408" w:lineRule="exact"/>
        <w:ind w:left="0" w:right="0" w:firstLine="576"/>
        <w:jc w:val="left"/>
      </w:pPr>
      <w:r>
        <w:rPr/>
        <w:t xml:space="preserve">(xii) Other criteria that the board considers necessary to achieve the purposes of this chapter.</w:t>
      </w:r>
    </w:p>
    <w:p>
      <w:pPr>
        <w:spacing w:before="0" w:after="0" w:line="408" w:lineRule="exact"/>
        <w:ind w:left="0" w:right="0" w:firstLine="576"/>
        <w:jc w:val="left"/>
      </w:pPr>
      <w:r>
        <w:rPr/>
        <w:t xml:space="preserve">(b) Before September 1, 2018, and each year thereafter, the board must develop and submit a report regarding the construction loans and grants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(i) The total number of applications and amount of funding requested for public works projects;</w:t>
      </w:r>
    </w:p>
    <w:p>
      <w:pPr>
        <w:spacing w:before="0" w:after="0" w:line="408" w:lineRule="exact"/>
        <w:ind w:left="0" w:right="0" w:firstLine="576"/>
        <w:jc w:val="left"/>
      </w:pPr>
      <w:r>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t xml:space="preserve">(v) The total amount of loan repayments due for outstanding loans for each fiscal year over the following ten-year period; and</w:t>
      </w:r>
    </w:p>
    <w:p>
      <w:pPr>
        <w:spacing w:before="0" w:after="0" w:line="408" w:lineRule="exact"/>
        <w:ind w:left="0" w:right="0" w:firstLine="576"/>
        <w:jc w:val="left"/>
      </w:pPr>
      <w:r>
        <w:rPr/>
        <w:t xml:space="preserve">(vi) The total amount of funds obligated and timing of when the funds were obligated in the preceding fiscal year.</w:t>
      </w:r>
    </w:p>
    <w:p>
      <w:pPr>
        <w:spacing w:before="0" w:after="0" w:line="408" w:lineRule="exact"/>
        <w:ind w:left="0" w:right="0" w:firstLine="576"/>
        <w:jc w:val="left"/>
      </w:pPr>
      <w:r>
        <w:rPr/>
        <w:t xml:space="preserve">(c) The maximum amount of funding that the board may provide for any jurisdiction is ten million dollars per biennium.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Before September 1st of each year, the board must develop and submit to the appropriate fiscal committees of the senate and house of representatives a description of the loans and grants made under RCW 43.155.065 and 43.155.068.</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board may not sign contracts or otherwise financially obligate funds from the public works assistance account before the legislature has appropriated funds to the board for the purpose of funding public works projects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To qualify for loans, grants,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After January 1, 2010, any project designed to address the effects of stormwater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projects involving repair, replacement, or improvement of a wastewater treatment plant or other public works facility for which an investment grade efficiency audit is reasonably obtainable, the public works board must require as a contract condition that the project sponsor undertake an investment grade efficiency audit. The project sponsor may finance the costs of the audit as part of its public works assistance account program loan or grant.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board must implement policies and procedures designed to maximize local government consideration of other funds to finance local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26</w:t>
      </w:r>
      <w:r>
        <w:rPr/>
        <w:t xml:space="preserve">.</w:t>
      </w:r>
      <w:r>
        <w:t xml:space="preserve">086</w:t>
      </w:r>
      <w:r>
        <w:rPr/>
        <w:t xml:space="preserve"> and 2011 c 120 s 7 are each amended to read as follows:</w:t>
      </w:r>
    </w:p>
    <w:p>
      <w:pPr>
        <w:spacing w:before="0" w:after="0" w:line="408" w:lineRule="exact"/>
        <w:ind w:left="0" w:right="0" w:firstLine="576"/>
        <w:jc w:val="left"/>
      </w:pPr>
      <w:r>
        <w:rPr/>
        <w:t xml:space="preserve">Transportation improvement account projects selected for funding programs after fiscal year 1995 are governed by the requirements of this section.</w:t>
      </w:r>
    </w:p>
    <w:p>
      <w:pPr>
        <w:spacing w:before="0" w:after="0" w:line="408" w:lineRule="exact"/>
        <w:ind w:left="0" w:right="0" w:firstLine="576"/>
        <w:jc w:val="left"/>
      </w:pPr>
      <w:r>
        <w:rPr/>
        <w:t xml:space="preserve">The board shall allocate funds from the account by June 30th of each year for the ensuing fiscal year to urban counties, cities with a population of five thousand and over, and to transportation benefit districts. Projects may include, but are not limited to, multiagency projects and arterial improvement projects in fast-growing areas. The board shall endeavor to provide geographical diversity in selecting improvement projects to be funded from the account.</w:t>
      </w:r>
    </w:p>
    <w:p>
      <w:pPr>
        <w:spacing w:before="0" w:after="0" w:line="408" w:lineRule="exact"/>
        <w:ind w:left="0" w:right="0" w:firstLine="576"/>
        <w:jc w:val="left"/>
      </w:pPr>
      <w:r>
        <w:rPr/>
        <w:t xml:space="preserve">To be eligible to receive these funds, a project must be consistent with the Growth Management Act, the Clean Air Act including conformity, and the Commute Trip Reduction Law and consideration must have been given to the project's relationship, both actual and potential, with the statewide rail passenger program and rapid mass transit. </w:t>
      </w:r>
      <w:r>
        <w:rPr>
          <w:u w:val="single"/>
        </w:rPr>
        <w:t xml:space="preserve">For a project located in a city that is subject to the requirements of section 1 (1) and (2) of this act, the city must certify to the board that it is in compliance with section 1 (1) and (2) of this act in order for the project to be eligible to receive these funds.</w:t>
      </w:r>
      <w:r>
        <w:rPr/>
        <w:t xml:space="preserve"> Projects must be consistent with any adopted high capacity transportation plan, must consider existing or reasonably foreseeable congestion levels attributable to economic development or growth and all modes of transportation and safety, and must be partially funded by local government or private contributions, or a combination of such contributions. Priority consideration shall be given to those projects with the greatest percentage of local or private contribution, or both.</w:t>
      </w:r>
    </w:p>
    <w:p>
      <w:pPr>
        <w:spacing w:before="0" w:after="0" w:line="408" w:lineRule="exact"/>
        <w:ind w:left="0" w:right="0" w:firstLine="576"/>
        <w:jc w:val="left"/>
      </w:pPr>
      <w:r>
        <w:rPr/>
        <w:t xml:space="preserve">Within one year after board approval of an application for funding, the lead agency shall provide written certification to the board of the pledged local and private funding for the phase of the project approved. Funds allocated to an applicant that does not certify its funding within one year after approval may be reallocated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project action implementing section 1 of this act and evaluated under this chapter by a city, town, or county planning under RCW 36.70A.040 is exempt from appeals under this chapter on the basis of the evaluation of or impacts to transportation elements of the environment, so long as the project does not present significant adverse impacts to the state-owned transportation system as determined by the department of transportation and the project is:</w:t>
      </w:r>
    </w:p>
    <w:p>
      <w:pPr>
        <w:spacing w:before="0" w:after="0" w:line="408" w:lineRule="exact"/>
        <w:ind w:left="0" w:right="0" w:firstLine="576"/>
        <w:jc w:val="left"/>
      </w:pPr>
      <w:r>
        <w:rPr/>
        <w:t xml:space="preserve">(a)(i) Consistent with a locally adopted transportation plan; or</w:t>
      </w:r>
    </w:p>
    <w:p>
      <w:pPr>
        <w:spacing w:before="0" w:after="0" w:line="408" w:lineRule="exact"/>
        <w:ind w:left="0" w:right="0" w:firstLine="576"/>
        <w:jc w:val="left"/>
      </w:pPr>
      <w:r>
        <w:rPr/>
        <w:t xml:space="preserve">(ii) Consistent with the transportation element of a comprehensive plan; and</w:t>
      </w:r>
    </w:p>
    <w:p>
      <w:pPr>
        <w:spacing w:before="0" w:after="0" w:line="408" w:lineRule="exact"/>
        <w:ind w:left="0" w:right="0" w:firstLine="576"/>
        <w:jc w:val="left"/>
      </w:pPr>
      <w:r>
        <w:rPr/>
        <w:t xml:space="preserve">(b)(i) A project for which traffic or parking impact fees are imposed pursuant to RCW 82.02.050 through 82.02.090; or</w:t>
      </w:r>
    </w:p>
    <w:p>
      <w:pPr>
        <w:spacing w:before="0" w:after="0" w:line="408" w:lineRule="exact"/>
        <w:ind w:left="0" w:right="0" w:firstLine="576"/>
        <w:jc w:val="left"/>
      </w:pPr>
      <w:r>
        <w:rPr/>
        <w:t xml:space="preserve">(ii) A project for which traffic or parking impacts are expressly mitigated by an ordinance, or ordinances, of general application adopted by the city, town, or county.</w:t>
      </w:r>
    </w:p>
    <w:p>
      <w:pPr>
        <w:spacing w:before="0" w:after="0" w:line="408" w:lineRule="exact"/>
        <w:ind w:left="0" w:right="0" w:firstLine="576"/>
        <w:jc w:val="left"/>
      </w:pPr>
      <w:r>
        <w:rPr/>
        <w:t xml:space="preserve">(2) For purposes of this section, "impacts to transportation elements of the environment" include impacts to transportation systems; vehicular traffic; waterborne, rail, and air traffic; parking; movement or circulation of people or goods; and traffic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420</w:t>
      </w:r>
      <w:r>
        <w:rPr/>
        <w:t xml:space="preserve"> and 2010 c 153 s 2 are each amended to read as follows:</w:t>
      </w:r>
    </w:p>
    <w:p>
      <w:pPr>
        <w:spacing w:before="0" w:after="0" w:line="408" w:lineRule="exact"/>
        <w:ind w:left="0" w:right="0" w:firstLine="576"/>
        <w:jc w:val="left"/>
      </w:pPr>
      <w:r>
        <w:rPr/>
        <w:t xml:space="preserve">(1) Cities with a population greater than five thousand, in accordance with their existing comprehensive planning and development regulation authority under chapter 36.70A RCW, and in accordance with this section, may adopt optional elements of their comprehensive plans and optional development regulations that apply within specified subareas of the cities, that are either:</w:t>
      </w:r>
    </w:p>
    <w:p>
      <w:pPr>
        <w:spacing w:before="0" w:after="0" w:line="408" w:lineRule="exact"/>
        <w:ind w:left="0" w:right="0" w:firstLine="576"/>
        <w:jc w:val="left"/>
      </w:pPr>
      <w:r>
        <w:rPr/>
        <w:t xml:space="preserve">(a) Areas designated as mixed-use or urban centers in a land use or transportation plan adopted by a regional transportation planning organization; or</w:t>
      </w:r>
    </w:p>
    <w:p>
      <w:pPr>
        <w:spacing w:before="0" w:after="0" w:line="408" w:lineRule="exact"/>
        <w:ind w:left="0" w:right="0" w:firstLine="576"/>
        <w:jc w:val="left"/>
      </w:pPr>
      <w:r>
        <w:rPr/>
        <w:t xml:space="preserve">(b) Areas within one-half mile of a major transit stop that are zoned to have an average minimum density of fifteen dwelling units or more per gross acre.</w:t>
      </w:r>
    </w:p>
    <w:p>
      <w:pPr>
        <w:spacing w:before="0" w:after="0" w:line="408" w:lineRule="exact"/>
        <w:ind w:left="0" w:right="0" w:firstLine="576"/>
        <w:jc w:val="left"/>
      </w:pPr>
      <w:r>
        <w:rPr/>
        <w:t xml:space="preserve">(2) Cities located on the east side of the Cascade mountains and located in a county with a population of two hundred thirty thousand or less, in accordance with their existing comprehensive planning and development regulation authority under chapter 36.70A RCW, and in accordance with this section, may adopt optional elements of their comprehensive plans and optional development regulations that apply within the mixed-use or urban centers. The optional elements of their comprehensive plans and optional development regulations must enhance pedestrian, bicycle, transit, or other nonvehicular transportation methods.</w:t>
      </w:r>
    </w:p>
    <w:p>
      <w:pPr>
        <w:spacing w:before="0" w:after="0" w:line="408" w:lineRule="exact"/>
        <w:ind w:left="0" w:right="0" w:firstLine="576"/>
        <w:jc w:val="left"/>
      </w:pPr>
      <w:r>
        <w:rPr/>
        <w:t xml:space="preserve">(3) A major transit stop is defined as:</w:t>
      </w:r>
    </w:p>
    <w:p>
      <w:pPr>
        <w:spacing w:before="0" w:after="0" w:line="408" w:lineRule="exact"/>
        <w:ind w:left="0" w:right="0" w:firstLine="576"/>
        <w:jc w:val="left"/>
      </w:pPr>
      <w:r>
        <w:rPr/>
        <w:t xml:space="preserve">(a) A stop on a high capacity transportation service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fixed route service at intervals of at least thirty minutes during the peak hours of operation.</w:t>
      </w:r>
    </w:p>
    <w:p>
      <w:pPr>
        <w:spacing w:before="0" w:after="0" w:line="408" w:lineRule="exact"/>
        <w:ind w:left="0" w:right="0" w:firstLine="576"/>
        <w:jc w:val="left"/>
      </w:pPr>
      <w:r>
        <w:rPr/>
        <w:t xml:space="preserve">(4)(a) A city that elects to adopt such an optional comprehensive plan element and optional development regulations shall prepare a nonproject environmental impact statement, pursuant to RCW 43.21C.030, assessing and disclosing the probable significant adverse environmental impacts of the optional comprehensive plan element and development regulations and of future development that is consistent with the plan and regulations.</w:t>
      </w:r>
    </w:p>
    <w:p>
      <w:pPr>
        <w:spacing w:before="0" w:after="0" w:line="408" w:lineRule="exact"/>
        <w:ind w:left="0" w:right="0" w:firstLine="576"/>
        <w:jc w:val="left"/>
      </w:pPr>
      <w:r>
        <w:rPr/>
        <w:t xml:space="preserve">(b) At least one community meeting must be held on the proposed subarea plan before the scoping notice for such a nonproject environmental impact statement is issued. Notice of scoping for such a nonproject environmental impact statement and notice of the community meeting required by this section must be mailed to all property owners of record within the subarea to be studied, to all property owners within one hundred fifty feet of the boundaries of such a subarea, to all affected federally recognized tribal governments whose ceded area is within one-half mile of the boundaries of the subarea, and to agencies with jurisdiction over the future development anticipated within the subarea.</w:t>
      </w:r>
    </w:p>
    <w:p>
      <w:pPr>
        <w:spacing w:before="0" w:after="0" w:line="408" w:lineRule="exact"/>
        <w:ind w:left="0" w:right="0" w:firstLine="576"/>
        <w:jc w:val="left"/>
      </w:pPr>
      <w:r>
        <w:rPr/>
        <w:t xml:space="preserve">(c) </w:t>
      </w:r>
      <w:r>
        <w:t>((</w:t>
      </w:r>
      <w:r>
        <w:rPr>
          <w:strike/>
        </w:rPr>
        <w:t xml:space="preserve">In cities with over five hundred thousand residents, notice of scoping for such a nonproject environmental impact statement and notice of the community meeting required by this section must be mailed to all small businesses as defined in RCW 19.85.020, and to all community preservation and development authorities established under chapter 43.167 RCW, located within the subarea to be studied or within one hundred fifty feet of the boundaries of such subarea. The process for community involvement must have the goal of fair treatment and meaningful involvement of all people with respect to the development and implementation of the subarea planning process.</w:t>
      </w:r>
    </w:p>
    <w:p>
      <w:pPr>
        <w:spacing w:before="0" w:after="0" w:line="408" w:lineRule="exact"/>
        <w:ind w:left="0" w:right="0" w:firstLine="576"/>
        <w:jc w:val="left"/>
      </w:pPr>
      <w:r>
        <w:rPr>
          <w:strike/>
        </w:rPr>
        <w:t xml:space="preserve">(d)</w:t>
      </w:r>
      <w:r>
        <w:t>))</w:t>
      </w:r>
      <w:r>
        <w:rPr/>
        <w:t xml:space="preserve"> The notice of the community meeting must include general illustrations and descriptions of buildings generally representative of the maximum building envelope that will be allowed under the proposed plan and indicate that future appeals of proposed developments that are consistent with the plan will be limited. Notice of the community meeting must include signs located on major travel routes in the subarea. If the building envelope increases during the process, another notice complying with the requirements of this section must be issued before the next public involvement opportunity.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Any person that has standing to appeal the adoption of this subarea plan or the implementing regulations under RCW 36.70A.280 has standing to bring an appeal of the nonproject environmental impact statement required by this subsection.</w:t>
      </w:r>
    </w:p>
    <w:p>
      <w:pPr>
        <w:spacing w:before="0" w:after="0" w:line="408" w:lineRule="exact"/>
        <w:ind w:left="0" w:right="0" w:firstLine="576"/>
        <w:jc w:val="left"/>
      </w:pPr>
      <w:r>
        <w:t>((</w:t>
      </w:r>
      <w:r>
        <w:rPr>
          <w:strike/>
        </w:rPr>
        <w:t xml:space="preserve">(f) Cities with over five hundred thousand residents shall prepare a study that accompanies or is appended to the nonproject environmental impact statement, but must not be part of that statement, that analyzes the extent to which the proposed subarea plan may result in the displacement or fragmentation of existing businesses, existing residents, including people living with poverty, families with children, and intergenerational households, or cultural groups within the proposed subarea plan. The city shall also discuss the results of the analysis at the community meeting.</w:t>
      </w:r>
    </w:p>
    <w:p>
      <w:pPr>
        <w:spacing w:before="0" w:after="0" w:line="408" w:lineRule="exact"/>
        <w:ind w:left="0" w:right="0" w:firstLine="576"/>
        <w:jc w:val="left"/>
      </w:pPr>
      <w:r>
        <w:rPr>
          <w:strike/>
        </w:rPr>
        <w:t xml:space="preserve">(g)</w:t>
      </w:r>
      <w:r>
        <w:t>))</w:t>
      </w:r>
      <w:r>
        <w:rPr/>
        <w:t xml:space="preserve"> </w:t>
      </w:r>
      <w:r>
        <w:rPr>
          <w:u w:val="single"/>
        </w:rPr>
        <w:t xml:space="preserve">(e)</w:t>
      </w:r>
      <w:r>
        <w:rPr/>
        <w:t xml:space="preserve"> As an incentive for development authorized under this section, a city shall consider establishing a transfer of development rights program in consultation with the county where the city is located, that conserves county-designated agricultural and forestland of long-term commercial significance. If the city decides not to establish a transfer of development rights program, the city must state in the record the reasons for not adopting the program. The city's decision not to establish a transfer of development rights program is not subject to appeal. Nothing in this subsection (4)</w:t>
      </w:r>
      <w:r>
        <w:t>((</w:t>
      </w:r>
      <w:r>
        <w:rPr>
          <w:strike/>
        </w:rPr>
        <w:t xml:space="preserve">(g)</w:t>
      </w:r>
      <w:r>
        <w:t>))</w:t>
      </w:r>
      <w:r>
        <w:rPr/>
        <w:t xml:space="preserve"> </w:t>
      </w:r>
      <w:r>
        <w:rPr>
          <w:u w:val="single"/>
        </w:rPr>
        <w:t xml:space="preserve">(e)</w:t>
      </w:r>
      <w:r>
        <w:rPr/>
        <w:t xml:space="preserve"> may be used as a basis to challenge the optional comprehensive plan or subarea plan policies authorized under this section.</w:t>
      </w:r>
    </w:p>
    <w:p>
      <w:pPr>
        <w:spacing w:before="0" w:after="0" w:line="408" w:lineRule="exact"/>
        <w:ind w:left="0" w:right="0" w:firstLine="576"/>
        <w:jc w:val="left"/>
      </w:pPr>
      <w:r>
        <w:rPr/>
        <w:t xml:space="preserve">(5)(a) Until July 1, </w:t>
      </w:r>
      <w:r>
        <w:t>((</w:t>
      </w:r>
      <w:r>
        <w:rPr>
          <w:strike/>
        </w:rPr>
        <w:t xml:space="preserve">2018</w:t>
      </w:r>
      <w:r>
        <w:t>))</w:t>
      </w:r>
      <w:r>
        <w:rPr/>
        <w:t xml:space="preserve"> </w:t>
      </w:r>
      <w:r>
        <w:rPr>
          <w:u w:val="single"/>
        </w:rPr>
        <w:t xml:space="preserve">2029</w:t>
      </w:r>
      <w:r>
        <w:rPr/>
        <w:t xml:space="preserve">, a proposed development that </w:t>
      </w:r>
      <w:r>
        <w:rPr>
          <w:u w:val="single"/>
        </w:rPr>
        <w:t xml:space="preserve">meets the criteria of (b) of this subsection 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the following time frames:</w:t>
      </w:r>
    </w:p>
    <w:p>
      <w:pPr>
        <w:spacing w:before="0" w:after="0" w:line="408" w:lineRule="exact"/>
        <w:ind w:left="0" w:right="0" w:firstLine="576"/>
        <w:jc w:val="left"/>
      </w:pPr>
      <w:r>
        <w:rPr>
          <w:u w:val="single"/>
        </w:rPr>
        <w:t xml:space="preserve">(i) Nineteen years from the date of issuance of the final environmental impact statement, for projects that are consistent with an optional element adopted by a city as of the effective date of this section; or</w:t>
      </w:r>
    </w:p>
    <w:p>
      <w:pPr>
        <w:spacing w:before="0" w:after="0" w:line="408" w:lineRule="exact"/>
        <w:ind w:left="0" w:right="0" w:firstLine="576"/>
        <w:jc w:val="left"/>
      </w:pPr>
      <w:r>
        <w:rPr>
          <w:u w:val="single"/>
        </w:rPr>
        <w:t xml:space="preserve">(ii) Ten years from the date of issuance of the final environmental impact statement, for projects that are consistent with an optional element adopted by a city after the effective date of this section.</w:t>
      </w:r>
    </w:p>
    <w:p>
      <w:pPr>
        <w:spacing w:before="0" w:after="0" w:line="408" w:lineRule="exact"/>
        <w:ind w:left="0" w:right="0" w:firstLine="576"/>
        <w:jc w:val="left"/>
      </w:pPr>
      <w:r>
        <w:rPr>
          <w:u w:val="single"/>
        </w:rPr>
        <w:t xml:space="preserve">(b) A proposed development may not be challenged, consistent with the timelines established in (a) of this subsection, so long as the development:</w:t>
      </w:r>
    </w:p>
    <w:p>
      <w:pPr>
        <w:spacing w:before="0" w:after="0" w:line="408" w:lineRule="exact"/>
        <w:ind w:left="0" w:right="0" w:firstLine="576"/>
        <w:jc w:val="left"/>
      </w:pPr>
      <w:r>
        <w:rPr>
          <w:u w:val="single"/>
        </w:rPr>
        <w:t xml:space="preserve">(i) I</w:t>
      </w:r>
      <w:r>
        <w:rPr/>
        <w:t xml:space="preserve">s consistent with the optional comprehensive plan or subarea plan policies and development regulations adopted under subsection (1) or (2) of this section</w:t>
      </w:r>
      <w:r>
        <w:rPr>
          <w:u w:val="single"/>
        </w:rPr>
        <w:t xml:space="preserve">;</w:t>
      </w:r>
    </w:p>
    <w:p>
      <w:pPr>
        <w:spacing w:before="0" w:after="0" w:line="408" w:lineRule="exact"/>
        <w:ind w:left="0" w:right="0" w:firstLine="576"/>
        <w:jc w:val="left"/>
      </w:pPr>
      <w:r>
        <w:rPr>
          <w:u w:val="single"/>
        </w:rPr>
        <w:t xml:space="preserve">(ii) Sets aside or requires the occupancy of at least ten percent of the dwelling units, or a greater percentage as determined by city development regulations, within the development for low-income households at a sale price or rental amount that is considered affordable by a city's housing programs. This subsection (5)(b)(ii) applies only to projects that are consistent with an optional element adopted by a city pursuant to this section after the effective date of this section;</w:t>
      </w:r>
      <w:r>
        <w:rPr/>
        <w:t xml:space="preserve"> and </w:t>
      </w:r>
      <w:r>
        <w:t>((</w:t>
      </w:r>
      <w:r>
        <w:rPr>
          <w:strike/>
        </w:rPr>
        <w:t xml:space="preserve">that</w:t>
      </w:r>
      <w:r>
        <w:t>))</w:t>
      </w:r>
    </w:p>
    <w:p>
      <w:pPr>
        <w:spacing w:before="0" w:after="0" w:line="408" w:lineRule="exact"/>
        <w:ind w:left="0" w:right="0" w:firstLine="576"/>
        <w:jc w:val="left"/>
      </w:pPr>
      <w:r>
        <w:rPr>
          <w:u w:val="single"/>
        </w:rPr>
        <w:t xml:space="preserve">(iii) I</w:t>
      </w:r>
      <w:r>
        <w:rPr/>
        <w:t xml:space="preserve">s environmentally reviewed under subsection (4) of this section </w:t>
      </w:r>
      <w:r>
        <w:t>((</w:t>
      </w:r>
      <w:r>
        <w:rPr>
          <w:strike/>
        </w:rPr>
        <w:t xml:space="preserve">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ten years from the date of issuance of the final environmental impact statement</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After July 1, </w:t>
      </w:r>
      <w:r>
        <w:t>((</w:t>
      </w:r>
      <w:r>
        <w:rPr>
          <w:strike/>
        </w:rPr>
        <w:t xml:space="preserve">2018</w:t>
      </w:r>
      <w:r>
        <w:t>))</w:t>
      </w:r>
      <w:r>
        <w:rPr/>
        <w:t xml:space="preserve"> </w:t>
      </w:r>
      <w:r>
        <w:rPr>
          <w:u w:val="single"/>
        </w:rPr>
        <w:t xml:space="preserve">2029</w:t>
      </w:r>
      <w:r>
        <w:rPr/>
        <w:t xml:space="preserve">, the immunity from appeals under this chapter of any application that vests or will vest under this subsection or the ability to vest under this subsection is still valid, provided that the final subarea environmental impact statement is issued by July 1, </w:t>
      </w:r>
      <w:r>
        <w:t>((</w:t>
      </w:r>
      <w:r>
        <w:rPr>
          <w:strike/>
        </w:rPr>
        <w:t xml:space="preserve">2018</w:t>
      </w:r>
      <w:r>
        <w:t>))</w:t>
      </w:r>
      <w:r>
        <w:rPr/>
        <w:t xml:space="preserve"> </w:t>
      </w:r>
      <w:r>
        <w:rPr>
          <w:u w:val="single"/>
        </w:rPr>
        <w:t xml:space="preserve">2029</w:t>
      </w:r>
      <w:r>
        <w:rPr/>
        <w:t xml:space="preserve">. After July 1, </w:t>
      </w:r>
      <w:r>
        <w:t>((</w:t>
      </w:r>
      <w:r>
        <w:rPr>
          <w:strike/>
        </w:rPr>
        <w:t xml:space="preserve">2018</w:t>
      </w:r>
      <w:r>
        <w:t>))</w:t>
      </w:r>
      <w:r>
        <w:rPr/>
        <w:t xml:space="preserve"> </w:t>
      </w:r>
      <w:r>
        <w:rPr>
          <w:u w:val="single"/>
        </w:rPr>
        <w:t xml:space="preserve">2029</w:t>
      </w:r>
      <w:r>
        <w:rPr/>
        <w:t xml:space="preserve">, a city may continue to collect reimbursement fees under subsection (6) of this section for the proportionate share of a subarea environmental impact statement issued prior to July 1, </w:t>
      </w:r>
      <w:r>
        <w:t>((</w:t>
      </w:r>
      <w:r>
        <w:rPr>
          <w:strike/>
        </w:rPr>
        <w:t xml:space="preserve">2018</w:t>
      </w:r>
      <w:r>
        <w:t>))</w:t>
      </w:r>
      <w:r>
        <w:rPr/>
        <w:t xml:space="preserve"> </w:t>
      </w:r>
      <w:r>
        <w:rPr>
          <w:u w:val="single"/>
        </w:rPr>
        <w:t xml:space="preserve">2029</w:t>
      </w:r>
      <w:r>
        <w:rPr/>
        <w:t xml:space="preserve">.</w:t>
      </w:r>
    </w:p>
    <w:p>
      <w:pPr>
        <w:spacing w:before="0" w:after="0" w:line="408" w:lineRule="exact"/>
        <w:ind w:left="0" w:right="0" w:firstLine="576"/>
        <w:jc w:val="left"/>
      </w:pPr>
      <w:r>
        <w:rPr/>
        <w:t xml:space="preserve">(6) It is recognized that a city that prepares a nonproject environmental impact statement under subsection (4) of this section must endure a substantial financial burden. A city may recover </w:t>
      </w:r>
      <w:r>
        <w:rPr>
          <w:u w:val="single"/>
        </w:rPr>
        <w:t xml:space="preserve">or apply for a grant or loan to prospectively cover</w:t>
      </w:r>
      <w:r>
        <w:rPr/>
        <w:t xml:space="preserve"> its reasonable expenses of preparation of a nonproject environmental impact statement prepared under subsection (4) of this section through access to financial assistance under RCW 36.70A.490 or funding from private sources. In addition, a city is authorized to recover a portion of its reasonable expenses of preparation of such a nonproject environmental impact statement by the assessment of reasonable and proportionate fees upon subsequent development that is consistent with the plan and development regulations adopted under subsection (5) of this section, as long as the development makes use of and benefits </w:t>
      </w:r>
      <w:r>
        <w:t>((</w:t>
      </w:r>
      <w:r>
        <w:rPr>
          <w:strike/>
        </w:rPr>
        <w:t xml:space="preserve">[from]</w:t>
      </w:r>
      <w:r>
        <w:t>))</w:t>
      </w:r>
      <w:r>
        <w:rPr/>
        <w:t xml:space="preserve"> </w:t>
      </w:r>
      <w:r>
        <w:rPr>
          <w:u w:val="single"/>
        </w:rPr>
        <w:t xml:space="preserve">from</w:t>
      </w:r>
      <w:r>
        <w:rPr/>
        <w:t xml:space="preserve">, as described in subsection (5) of this section, </w:t>
      </w:r>
      <w:r>
        <w:t>((</w:t>
      </w:r>
      <w:r>
        <w:rPr>
          <w:strike/>
        </w:rPr>
        <w:t xml:space="preserve">from</w:t>
      </w:r>
      <w:r>
        <w:t>))</w:t>
      </w:r>
      <w:r>
        <w:rPr/>
        <w:t xml:space="preserve"> the nonproject environmental impact statement prepared by the city. Any assessment fees collected from subsequent development may be used to reimburse funding received from private sources. In order to collect such fees, the city must enact an ordinance that sets forth objective standards for determining how the fees to be imposed upon each development will be proportionate to the impacts of each development and to the benefits accruing to each development from the nonproject environmental impact statement. Any disagreement about the reasonableness or amount of the fees imposed upon a development may not be the basis for delay in issuance of a project permit for that development. The fee assessed by the city may be paid with the written stipulation "paid under protest" and if the city provides for an administrative appeal of its decision on the project for which the fees are imposed, any dispute about the amount of the fees must be resolved in the same administrative appeal process.</w:t>
      </w:r>
    </w:p>
    <w:p>
      <w:pPr>
        <w:spacing w:before="0" w:after="0" w:line="408" w:lineRule="exact"/>
        <w:ind w:left="0" w:right="0" w:firstLine="576"/>
        <w:jc w:val="left"/>
      </w:pPr>
      <w:r>
        <w:rPr/>
        <w:t xml:space="preserve">(7) If a proposed development is inconsistent with the optional comprehensive plan or subarea plan policies and development regulations adopted under subsection (1) of this section, the city shall require additional environmental review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490</w:t>
      </w:r>
      <w:r>
        <w:rPr/>
        <w:t xml:space="preserve"> and 2012 1st sp.s. c 1 s 309 are each amended to read as follows:</w:t>
      </w:r>
    </w:p>
    <w:p>
      <w:pPr>
        <w:spacing w:before="0" w:after="0" w:line="408" w:lineRule="exact"/>
        <w:ind w:left="0" w:right="0" w:firstLine="576"/>
        <w:jc w:val="left"/>
      </w:pPr>
      <w:r>
        <w:rPr/>
        <w:t xml:space="preserve">The growth management planning and environmental review fund is hereby established in the state treasury. Moneys may be placed in the fund from the proceeds of bond sales, tax revenues, budget transfers, federal appropriations, gifts, or any other lawful source. Moneys in the fund may be spent only after appropriation. Moneys in the fund shall be used to make grants or loans to local governments for the purposes set forth in RCW 43.21C.240, 43.21C.031, or 36.70A.500</w:t>
      </w:r>
      <w:r>
        <w:rPr>
          <w:u w:val="single"/>
        </w:rPr>
        <w:t xml:space="preserve">, and to cover costs associated with the adoption of optional elements of comprehensive plans consistent with RCW 43.21C.420</w:t>
      </w:r>
      <w:r>
        <w:rPr/>
        <w:t xml:space="preserve">. Any payment of either principal or interest, or both, derived from loans made from this fund must be deposited into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Permanent supportive housing shall be a permitted use in all areas where multifamily housing is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Permanent supportive housing shall be a permitted use in all areas where multifamily housing is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 May provide an exemption from impact fees for low-income housing. Local governments that grant exemptions for low-income housing under this subsection (3)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An exemption for low-income housing granted under subsection (2) of this section or this subsection (3)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 Covenants required by this subsection must be recorded with the applicable county auditor or recording officer. A local government granting an exemption under subsection (2) of this section or this subsection (3) for low-income housing may not collect revenue lost through granting an exemption by increasing impact fees unrelated to the exemption. A school district who receives school impact fees must approve any exemption under subsection (2) of this section or this subsection (3);</w:t>
      </w:r>
    </w:p>
    <w:p>
      <w:pPr>
        <w:spacing w:before="0" w:after="0" w:line="408" w:lineRule="exact"/>
        <w:ind w:left="0" w:right="0" w:firstLine="576"/>
        <w:jc w:val="left"/>
      </w:pPr>
      <w:r>
        <w:rPr/>
        <w:t xml:space="preserve">(4) </w:t>
      </w:r>
      <w:r>
        <w:rPr>
          <w:u w:val="single"/>
        </w:rPr>
        <w:t xml:space="preserve">May not charge a higher per unit fee for multifamily residential construction than for single-family residential construction;</w:t>
      </w:r>
    </w:p>
    <w:p>
      <w:pPr>
        <w:spacing w:before="0" w:after="0" w:line="408" w:lineRule="exact"/>
        <w:ind w:left="0" w:right="0" w:firstLine="576"/>
        <w:jc w:val="left"/>
      </w:pPr>
      <w:r>
        <w:rPr>
          <w:u w:val="single"/>
        </w:rPr>
        <w:t xml:space="preserve">(5)</w:t>
      </w:r>
      <w:r>
        <w:rPr/>
        <w:t xml:space="preserve">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Shall establish one or more reasonable service areas within which it shall calculate and impose impact fees for various land use categories per unit of development; </w:t>
      </w:r>
      <w:r>
        <w:t>((</w:t>
      </w:r>
      <w:r>
        <w:rPr>
          <w:strike/>
        </w:rPr>
        <w:t xml:space="preserve">and</w:t>
      </w:r>
    </w:p>
    <w:p>
      <w:pPr>
        <w:spacing w:before="0" w:after="0" w:line="408" w:lineRule="exact"/>
        <w:ind w:left="0" w:right="0" w:firstLine="576"/>
        <w:jc w:val="left"/>
      </w:pPr>
      <w:r>
        <w:rPr>
          <w:strike/>
        </w:rPr>
        <w:t xml:space="preserve">(8)</w:t>
      </w:r>
      <w:r>
        <w:t>))</w:t>
      </w:r>
      <w:r>
        <w:rPr/>
        <w:t xml:space="preserve"> </w:t>
      </w:r>
      <w:r>
        <w:rPr>
          <w:u w:val="single"/>
        </w:rPr>
        <w:t xml:space="preserve">(9)</w:t>
      </w:r>
      <w:r>
        <w:rPr/>
        <w:t xml:space="preserve">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r>
        <w:rPr>
          <w:u w:val="single"/>
        </w:rPr>
        <w:t xml:space="preserve">; and</w:t>
      </w:r>
    </w:p>
    <w:p>
      <w:pPr>
        <w:spacing w:before="0" w:after="0" w:line="408" w:lineRule="exact"/>
        <w:ind w:left="0" w:right="0" w:firstLine="576"/>
        <w:jc w:val="left"/>
      </w:pPr>
      <w:r>
        <w:rPr>
          <w:u w:val="single"/>
        </w:rPr>
        <w:t xml:space="preserve">(10) May not impose impact fees that cumulatively amount to more than fifty thousand dollars for any single-family residential project</w:t>
      </w:r>
      <w:r>
        <w:rPr/>
        <w:t xml:space="preserve">.</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w:t>
      </w:r>
      <w:r>
        <w:t>((</w:t>
      </w:r>
      <w:r>
        <w:rPr>
          <w:strike/>
        </w:rPr>
        <w:t xml:space="preserve">family</w:t>
      </w:r>
      <w:r>
        <w:t>))</w:t>
      </w:r>
      <w:r>
        <w:rPr/>
        <w:t xml:space="preserve"> </w:t>
      </w:r>
      <w:r>
        <w:rPr>
          <w:u w:val="single"/>
        </w:rPr>
        <w:t xml:space="preserve">household</w:t>
      </w:r>
      <w:r>
        <w:rPr/>
        <w:t xml:space="preserve"> income adjusted for </w:t>
      </w:r>
      <w:r>
        <w:t>((</w:t>
      </w:r>
      <w:r>
        <w:rPr>
          <w:strike/>
        </w:rPr>
        <w:t xml:space="preserve">family</w:t>
      </w:r>
      <w:r>
        <w:t>))</w:t>
      </w:r>
      <w:r>
        <w:rPr/>
        <w:t xml:space="preserve"> </w:t>
      </w:r>
      <w:r>
        <w:rPr>
          <w:u w:val="single"/>
        </w:rPr>
        <w:t xml:space="preserve">household</w:t>
      </w:r>
      <w:r>
        <w:rPr/>
        <w:t xml:space="preserve"> size, for the county where the project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eec4fccadc2b47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4a58dd0bd84373" /><Relationship Type="http://schemas.openxmlformats.org/officeDocument/2006/relationships/footer" Target="/word/footer1.xml" Id="Reec4fccadc2b474e" /></Relationships>
</file>